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82"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Li Ka Shing</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Hong Kong</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10,641,376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10,641,376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10,641,376</w:t>
            </w:r>
            <w:r>
              <w:rPr>
                <w:rFonts w:ascii="Arial" w:cs="Arial" w:eastAsia="Arial" w:hAnsi="Arial"/>
                <w:sz w:val="26"/>
                <w:szCs w:val="26"/>
                <w:color w:val="auto"/>
                <w:w w:val="97"/>
                <w:vertAlign w:val="superscript"/>
              </w:rPr>
              <w:t>(1)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4.33%</w:t>
            </w:r>
            <w:r>
              <w:rPr>
                <w:rFonts w:ascii="Arial" w:cs="Arial" w:eastAsia="Arial" w:hAnsi="Arial"/>
                <w:sz w:val="26"/>
                <w:szCs w:val="26"/>
                <w:color w:val="auto"/>
                <w:w w:val="99"/>
                <w:vertAlign w:val="superscript"/>
              </w:rPr>
              <w:t>(2)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40" w:hanging="424"/>
        <w:spacing w:after="0" w:line="272"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5,605,937 shares of Class A common stock of the Issuer owned directly by Bucantini Enterprises Limited (“</w:t>
      </w:r>
      <w:r>
        <w:rPr>
          <w:rFonts w:ascii="Arial" w:cs="Arial" w:eastAsia="Arial" w:hAnsi="Arial"/>
          <w:sz w:val="17"/>
          <w:szCs w:val="17"/>
          <w:b w:val="1"/>
          <w:bCs w:val="1"/>
          <w:color w:val="auto"/>
        </w:rPr>
        <w:t>Bucantini</w:t>
      </w:r>
      <w:r>
        <w:rPr>
          <w:rFonts w:ascii="Arial" w:cs="Arial" w:eastAsia="Arial" w:hAnsi="Arial"/>
          <w:sz w:val="17"/>
          <w:szCs w:val="17"/>
          <w:color w:val="auto"/>
        </w:rPr>
        <w:t>”), (ii) 350,000 shares of Class A common stock of the Issuer owned directly by Bonus Goal International Limited (“</w:t>
      </w:r>
      <w:r>
        <w:rPr>
          <w:rFonts w:ascii="Arial" w:cs="Arial" w:eastAsia="Arial" w:hAnsi="Arial"/>
          <w:sz w:val="17"/>
          <w:szCs w:val="17"/>
          <w:b w:val="1"/>
          <w:bCs w:val="1"/>
          <w:color w:val="auto"/>
        </w:rPr>
        <w:t>Bonus Goal</w:t>
      </w:r>
      <w:r>
        <w:rPr>
          <w:rFonts w:ascii="Arial" w:cs="Arial" w:eastAsia="Arial" w:hAnsi="Arial"/>
          <w:sz w:val="17"/>
          <w:szCs w:val="17"/>
          <w:color w:val="auto"/>
        </w:rPr>
        <w:t>”) and (iii) 4,685,439 shares of Class A common stock of the Issuer owned directly by Star Arrow Limited (“</w:t>
      </w:r>
      <w:r>
        <w:rPr>
          <w:rFonts w:ascii="Arial" w:cs="Arial" w:eastAsia="Arial" w:hAnsi="Arial"/>
          <w:sz w:val="17"/>
          <w:szCs w:val="17"/>
          <w:b w:val="1"/>
          <w:bCs w:val="1"/>
          <w:color w:val="auto"/>
        </w:rPr>
        <w:t>Star Arrow</w:t>
      </w:r>
      <w:r>
        <w:rPr>
          <w:rFonts w:ascii="Arial" w:cs="Arial" w:eastAsia="Arial" w:hAnsi="Arial"/>
          <w:sz w:val="17"/>
          <w:szCs w:val="17"/>
          <w:color w:val="auto"/>
        </w:rPr>
        <w:t>”) as of February 7, 2023.</w:t>
      </w:r>
    </w:p>
    <w:p>
      <w:pPr>
        <w:spacing w:after="0" w:line="1" w:lineRule="exact"/>
        <w:rPr>
          <w:rFonts w:ascii="Arial" w:cs="Arial" w:eastAsia="Arial" w:hAnsi="Arial"/>
          <w:sz w:val="17"/>
          <w:szCs w:val="17"/>
          <w:color w:val="auto"/>
        </w:rPr>
      </w:pPr>
    </w:p>
    <w:p>
      <w:pPr>
        <w:ind w:left="424" w:right="480" w:hanging="424"/>
        <w:spacing w:after="0" w:line="290"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percent of class was calculated based on 245,652,118 shares of Class A common stock (as reported in the Issuer’s Quarterly Report on Form 10-Q as filed by the Issuer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November 23, 2022).</w:t>
      </w:r>
    </w:p>
    <w:p>
      <w:pPr>
        <w:sectPr>
          <w:pgSz w:w="11900" w:h="16838" w:orient="portrait"/>
          <w:cols w:equalWidth="0" w:num="1">
            <w:col w:w="10904"/>
          </w:cols>
          <w:pgMar w:left="436" w:top="268" w:right="5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Mayspin Management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10,641,376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10,641,376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10,641,376</w:t>
            </w:r>
            <w:r>
              <w:rPr>
                <w:rFonts w:ascii="Arial" w:cs="Arial" w:eastAsia="Arial" w:hAnsi="Arial"/>
                <w:sz w:val="26"/>
                <w:szCs w:val="26"/>
                <w:color w:val="auto"/>
                <w:w w:val="97"/>
                <w:vertAlign w:val="superscript"/>
              </w:rPr>
              <w:t>(1)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4.33%</w:t>
            </w:r>
            <w:r>
              <w:rPr>
                <w:rFonts w:ascii="Arial" w:cs="Arial" w:eastAsia="Arial" w:hAnsi="Arial"/>
                <w:sz w:val="26"/>
                <w:szCs w:val="26"/>
                <w:color w:val="auto"/>
                <w:w w:val="99"/>
                <w:vertAlign w:val="superscript"/>
              </w:rPr>
              <w:t>(2)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 5,605,937 shares of Class A common stock of the Issuer owned directly by Bucantini, (ii) 350,000 shares of Class A common stock of the Issuer owned directly by Bonus Goal and (iii) 4,685,439 shares of Class A common stock of the Issuer owned directly by Star Arrow as of February 7, 2023.</w:t>
      </w:r>
    </w:p>
    <w:p>
      <w:pPr>
        <w:spacing w:after="0" w:line="2" w:lineRule="exact"/>
        <w:rPr>
          <w:rFonts w:ascii="Arial" w:cs="Arial" w:eastAsia="Arial" w:hAnsi="Arial"/>
          <w:sz w:val="18"/>
          <w:szCs w:val="18"/>
          <w:color w:val="auto"/>
        </w:rPr>
      </w:pPr>
    </w:p>
    <w:p>
      <w:pPr>
        <w:ind w:left="424" w:right="52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44"/>
          </w:cols>
          <w:pgMar w:left="436" w:top="268" w:right="51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Prime Doyen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10,291,376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10,291,376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10,291,376</w:t>
            </w:r>
            <w:r>
              <w:rPr>
                <w:rFonts w:ascii="Arial" w:cs="Arial" w:eastAsia="Arial" w:hAnsi="Arial"/>
                <w:sz w:val="26"/>
                <w:szCs w:val="26"/>
                <w:color w:val="auto"/>
                <w:w w:val="97"/>
                <w:vertAlign w:val="superscript"/>
              </w:rPr>
              <w:t>(1)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4.19%</w:t>
            </w:r>
            <w:r>
              <w:rPr>
                <w:rFonts w:ascii="Arial" w:cs="Arial" w:eastAsia="Arial" w:hAnsi="Arial"/>
                <w:sz w:val="26"/>
                <w:szCs w:val="26"/>
                <w:color w:val="auto"/>
                <w:w w:val="99"/>
                <w:vertAlign w:val="superscript"/>
              </w:rPr>
              <w:t>(2)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5,605,937 shares of Class A common stock of the Issuer owned directly by Bucantini and (ii) 4,685,439 shares of Class A common stock of the Issuer owned directly by Star Arrow as of February 7, 2023.</w:t>
      </w:r>
    </w:p>
    <w:p>
      <w:pPr>
        <w:spacing w:after="0" w:line="1"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04"/>
          </w:cols>
          <w:pgMar w:left="436" w:top="268" w:right="55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Bucantini Enterprises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5,605,937</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5,605,937</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5,605,937</w:t>
            </w:r>
            <w:r>
              <w:rPr>
                <w:rFonts w:ascii="Arial" w:cs="Arial" w:eastAsia="Arial" w:hAnsi="Arial"/>
                <w:sz w:val="26"/>
                <w:szCs w:val="26"/>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2.28%</w:t>
            </w:r>
            <w:r>
              <w:rPr>
                <w:rFonts w:ascii="Arial" w:cs="Arial" w:eastAsia="Arial" w:hAnsi="Arial"/>
                <w:sz w:val="26"/>
                <w:szCs w:val="26"/>
                <w:color w:val="auto"/>
                <w:w w:val="99"/>
                <w:vertAlign w:val="superscript"/>
              </w:rPr>
              <w:t>(2)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5,605,937 shares of Class A common stock of the Issuer owned directly by Bucantini as of February 7, 2023.</w:t>
      </w:r>
    </w:p>
    <w:p>
      <w:pPr>
        <w:spacing w:after="0" w:line="23"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04"/>
          </w:cols>
          <w:pgMar w:left="436" w:top="268" w:right="55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Star Arrow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4,685,439</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4,685,439</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4,685,439</w:t>
            </w:r>
            <w:r>
              <w:rPr>
                <w:rFonts w:ascii="Arial" w:cs="Arial" w:eastAsia="Arial" w:hAnsi="Arial"/>
                <w:sz w:val="26"/>
                <w:szCs w:val="26"/>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1.91%</w:t>
            </w:r>
            <w:r>
              <w:rPr>
                <w:rFonts w:ascii="Arial" w:cs="Arial" w:eastAsia="Arial" w:hAnsi="Arial"/>
                <w:sz w:val="26"/>
                <w:szCs w:val="26"/>
                <w:color w:val="auto"/>
                <w:w w:val="99"/>
                <w:vertAlign w:val="superscript"/>
              </w:rPr>
              <w:t>(2)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4,685,439 shares of Class A common stock of the Issuer owned directly by Star Arrow as of February 7, 2023.</w:t>
      </w:r>
    </w:p>
    <w:p>
      <w:pPr>
        <w:spacing w:after="0" w:line="23"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04"/>
          </w:cols>
          <w:pgMar w:left="436" w:top="268" w:right="55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Prime Tech Global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5"/>
              </w:rPr>
              <w:t>350,000</w:t>
            </w:r>
            <w:r>
              <w:rPr>
                <w:rFonts w:ascii="Arial" w:cs="Arial" w:eastAsia="Arial" w:hAnsi="Arial"/>
                <w:sz w:val="26"/>
                <w:szCs w:val="26"/>
                <w:color w:val="auto"/>
                <w:w w:val="85"/>
                <w:vertAlign w:val="superscript"/>
              </w:rPr>
              <w:t>(1)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0.14%</w:t>
            </w:r>
            <w:r>
              <w:rPr>
                <w:rFonts w:ascii="Arial" w:cs="Arial" w:eastAsia="Arial" w:hAnsi="Arial"/>
                <w:sz w:val="26"/>
                <w:szCs w:val="26"/>
                <w:color w:val="auto"/>
                <w:vertAlign w:val="superscript"/>
              </w:rPr>
              <w:t>(2)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 as of February 7, 2023.</w:t>
      </w:r>
    </w:p>
    <w:p>
      <w:pPr>
        <w:spacing w:after="0" w:line="23"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04"/>
          </w:cols>
          <w:pgMar w:left="436" w:top="268" w:right="55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Bonus Goal International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350,000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19"/>
                <w:szCs w:val="19"/>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5"/>
              </w:rPr>
              <w:t>350,000</w:t>
            </w:r>
            <w:r>
              <w:rPr>
                <w:rFonts w:ascii="Arial" w:cs="Arial" w:eastAsia="Arial" w:hAnsi="Arial"/>
                <w:sz w:val="26"/>
                <w:szCs w:val="26"/>
                <w:color w:val="auto"/>
                <w:w w:val="85"/>
                <w:vertAlign w:val="superscript"/>
              </w:rPr>
              <w:t>(1)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0.14%</w:t>
            </w:r>
            <w:r>
              <w:rPr>
                <w:rFonts w:ascii="Arial" w:cs="Arial" w:eastAsia="Arial" w:hAnsi="Arial"/>
                <w:sz w:val="26"/>
                <w:szCs w:val="26"/>
                <w:color w:val="auto"/>
                <w:vertAlign w:val="superscript"/>
              </w:rPr>
              <w:t>(2)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 as of February 7, 2023.</w:t>
      </w:r>
    </w:p>
    <w:p>
      <w:pPr>
        <w:spacing w:after="0" w:line="23" w:lineRule="exact"/>
        <w:rPr>
          <w:rFonts w:ascii="Arial" w:cs="Arial" w:eastAsia="Arial" w:hAnsi="Arial"/>
          <w:sz w:val="18"/>
          <w:szCs w:val="18"/>
          <w:color w:val="auto"/>
        </w:rPr>
      </w:pPr>
    </w:p>
    <w:p>
      <w:pPr>
        <w:ind w:left="424" w:right="4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class was calculated based on 245,652,118 shares of Class A common stock (as reported in the Issuer’s Quarterly Report on Form 10-Q as filed by the Issuer with the SEC on November 23, 2022).</w:t>
      </w:r>
    </w:p>
    <w:p>
      <w:pPr>
        <w:sectPr>
          <w:pgSz w:w="11900" w:h="16838" w:orient="portrait"/>
          <w:cols w:equalWidth="0" w:num="1">
            <w:col w:w="10904"/>
          </w:cols>
          <w:pgMar w:left="436" w:top="268" w:right="55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Insight Advance Limited</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0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Issuer</w:t>
      </w:r>
    </w:p>
    <w:p>
      <w:pPr>
        <w:spacing w:after="0" w:line="121" w:lineRule="exact"/>
        <w:rPr>
          <w:sz w:val="20"/>
          <w:szCs w:val="20"/>
          <w:color w:val="auto"/>
        </w:rPr>
      </w:pPr>
    </w:p>
    <w:p>
      <w:pPr>
        <w:ind w:left="1540" w:hanging="76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40" w:hanging="76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55 Almaden Boulevard, 6th Floor San Jose, California 95113</w:t>
      </w:r>
    </w:p>
    <w:p>
      <w:pPr>
        <w:spacing w:after="0" w:line="11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(a) – (c)</w:t>
      </w:r>
      <w:r>
        <w:rPr>
          <w:sz w:val="20"/>
          <w:szCs w:val="20"/>
          <w:color w:val="auto"/>
        </w:rPr>
        <w:tab/>
      </w:r>
      <w:r>
        <w:rPr>
          <w:rFonts w:ascii="Arial" w:cs="Arial" w:eastAsia="Arial" w:hAnsi="Arial"/>
          <w:sz w:val="16"/>
          <w:szCs w:val="16"/>
          <w:color w:val="auto"/>
        </w:rPr>
        <w:t>Name of Persons Filing; Address; Citizenship:</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     Li Ka Shing (“</w:t>
      </w:r>
      <w:r>
        <w:rPr>
          <w:rFonts w:ascii="Arial" w:cs="Arial" w:eastAsia="Arial" w:hAnsi="Arial"/>
          <w:sz w:val="18"/>
          <w:szCs w:val="18"/>
          <w:b w:val="1"/>
          <w:bCs w:val="1"/>
          <w:color w:val="auto"/>
        </w:rPr>
        <w:t>Mr. Li</w:t>
      </w:r>
      <w:r>
        <w:rPr>
          <w:rFonts w:ascii="Arial" w:cs="Arial" w:eastAsia="Arial" w:hAnsi="Arial"/>
          <w:sz w:val="18"/>
          <w:szCs w:val="18"/>
          <w:color w:val="auto"/>
        </w:rPr>
        <w:t>”), a Hong Kong citizen;</w:t>
      </w:r>
    </w:p>
    <w:p>
      <w:pPr>
        <w:spacing w:after="0" w:line="117" w:lineRule="exact"/>
        <w:rPr>
          <w:sz w:val="20"/>
          <w:szCs w:val="20"/>
          <w:color w:val="auto"/>
        </w:rPr>
      </w:pPr>
    </w:p>
    <w:p>
      <w:pPr>
        <w:ind w:left="1540" w:right="3100"/>
        <w:spacing w:after="0" w:line="375" w:lineRule="auto"/>
        <w:rPr>
          <w:sz w:val="20"/>
          <w:szCs w:val="20"/>
          <w:color w:val="auto"/>
        </w:rPr>
      </w:pPr>
      <w:r>
        <w:rPr>
          <w:rFonts w:ascii="Arial" w:cs="Arial" w:eastAsia="Arial" w:hAnsi="Arial"/>
          <w:sz w:val="18"/>
          <w:szCs w:val="18"/>
          <w:color w:val="auto"/>
        </w:rPr>
        <w:t>(ii)   Mayspin Management Limited (“</w:t>
      </w:r>
      <w:r>
        <w:rPr>
          <w:rFonts w:ascii="Arial" w:cs="Arial" w:eastAsia="Arial" w:hAnsi="Arial"/>
          <w:sz w:val="18"/>
          <w:szCs w:val="18"/>
          <w:b w:val="1"/>
          <w:bCs w:val="1"/>
          <w:color w:val="auto"/>
        </w:rPr>
        <w:t>Mayspin</w:t>
      </w:r>
      <w:r>
        <w:rPr>
          <w:rFonts w:ascii="Arial" w:cs="Arial" w:eastAsia="Arial" w:hAnsi="Arial"/>
          <w:sz w:val="18"/>
          <w:szCs w:val="18"/>
          <w:color w:val="auto"/>
        </w:rPr>
        <w:t>”), a British Virgin Islands company; (iii)    Prime Doyen Limited (“</w:t>
      </w:r>
      <w:r>
        <w:rPr>
          <w:rFonts w:ascii="Arial" w:cs="Arial" w:eastAsia="Arial" w:hAnsi="Arial"/>
          <w:sz w:val="18"/>
          <w:szCs w:val="18"/>
          <w:b w:val="1"/>
          <w:bCs w:val="1"/>
          <w:color w:val="auto"/>
        </w:rPr>
        <w:t>Prime Doyen</w:t>
      </w:r>
      <w:r>
        <w:rPr>
          <w:rFonts w:ascii="Arial" w:cs="Arial" w:eastAsia="Arial" w:hAnsi="Arial"/>
          <w:sz w:val="18"/>
          <w:szCs w:val="18"/>
          <w:color w:val="auto"/>
        </w:rPr>
        <w:t>”), a British Virgin Islands company; (iv)  Bucantini Enterprises Limited, a British Virgin Islands company; (v)    Star Arrow Limited, a British Virgin Islands company;</w:t>
      </w:r>
    </w:p>
    <w:p>
      <w:pPr>
        <w:spacing w:after="0" w:line="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(vi)   Prime Tech Global Limited (“</w:t>
      </w:r>
      <w:r>
        <w:rPr>
          <w:rFonts w:ascii="Arial" w:cs="Arial" w:eastAsia="Arial" w:hAnsi="Arial"/>
          <w:sz w:val="18"/>
          <w:szCs w:val="18"/>
          <w:b w:val="1"/>
          <w:bCs w:val="1"/>
          <w:color w:val="auto"/>
        </w:rPr>
        <w:t>Prime Tech</w:t>
      </w:r>
      <w:r>
        <w:rPr>
          <w:rFonts w:ascii="Arial" w:cs="Arial" w:eastAsia="Arial" w:hAnsi="Arial"/>
          <w:sz w:val="18"/>
          <w:szCs w:val="18"/>
          <w:color w:val="auto"/>
        </w:rPr>
        <w:t>”), a British Virgin Islands company;</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(vii)   Bonus Goal International Limited, a British Virgin Islands company; and</w:t>
      </w:r>
    </w:p>
    <w:p>
      <w:pPr>
        <w:spacing w:after="0" w:line="1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(viii)  Insight Advance Limited (“</w:t>
      </w:r>
      <w:r>
        <w:rPr>
          <w:rFonts w:ascii="Arial" w:cs="Arial" w:eastAsia="Arial" w:hAnsi="Arial"/>
          <w:sz w:val="18"/>
          <w:szCs w:val="18"/>
          <w:b w:val="1"/>
          <w:bCs w:val="1"/>
          <w:color w:val="auto"/>
        </w:rPr>
        <w:t>Insight Advance</w:t>
      </w:r>
      <w:r>
        <w:rPr>
          <w:rFonts w:ascii="Arial" w:cs="Arial" w:eastAsia="Arial" w:hAnsi="Arial"/>
          <w:sz w:val="18"/>
          <w:szCs w:val="18"/>
          <w:color w:val="auto"/>
        </w:rPr>
        <w:t>”), a British Virgin Islands company.</w:t>
      </w:r>
    </w:p>
    <w:p>
      <w:pPr>
        <w:spacing w:after="0" w:line="121"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are Cheung Kong Center, 7th Floor, 2 Queen’s Road Central, Hong Kong.</w:t>
      </w:r>
    </w:p>
    <w:p>
      <w:pPr>
        <w:spacing w:after="0" w:line="62" w:lineRule="exact"/>
        <w:rPr>
          <w:sz w:val="20"/>
          <w:szCs w:val="20"/>
          <w:color w:val="auto"/>
        </w:rPr>
      </w:pPr>
    </w:p>
    <w:p>
      <w:pPr>
        <w:ind w:left="1540" w:hanging="76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540" w:hanging="76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98980L101</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900" w:right="460" w:hanging="1121"/>
        <w:spacing w:after="0" w:line="239"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540" w:hanging="761"/>
        <w:spacing w:after="0" w:line="207" w:lineRule="exact"/>
        <w:tabs>
          <w:tab w:leader="none" w:pos="15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w:t>
      </w:r>
    </w:p>
    <w:p>
      <w:pPr>
        <w:spacing w:after="0" w:line="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Rule 240.13d-1(b)(1)(ii)(J), please specify the type of institution:</w:t>
      </w:r>
    </w:p>
    <w:p>
      <w:pPr>
        <w:spacing w:after="0" w:line="10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0820"/>
          </w:cols>
          <w:pgMar w:left="440" w:top="270" w:right="639" w:bottom="1440" w:gutter="0" w:footer="0" w:header="0"/>
        </w:sectPr>
      </w:pPr>
    </w:p>
    <w:bookmarkStart w:id="10" w:name="page11"/>
    <w:bookmarkEnd w:id="1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780"/>
        <w:spacing w:after="0"/>
        <w:tabs>
          <w:tab w:leader="none" w:pos="1860" w:val="left"/>
        </w:tabs>
        <w:rPr>
          <w:sz w:val="20"/>
          <w:szCs w:val="20"/>
          <w:color w:val="auto"/>
        </w:rPr>
      </w:pPr>
      <w:r>
        <w:rPr>
          <w:rFonts w:ascii="Arial" w:cs="Arial" w:eastAsia="Arial" w:hAnsi="Arial"/>
          <w:sz w:val="18"/>
          <w:szCs w:val="18"/>
          <w:color w:val="auto"/>
        </w:rPr>
        <w:t>(a) and (b)</w:t>
      </w:r>
      <w:r>
        <w:rPr>
          <w:sz w:val="20"/>
          <w:szCs w:val="20"/>
          <w:color w:val="auto"/>
        </w:rPr>
        <w:tab/>
      </w:r>
      <w:r>
        <w:rPr>
          <w:rFonts w:ascii="Arial" w:cs="Arial" w:eastAsia="Arial" w:hAnsi="Arial"/>
          <w:sz w:val="16"/>
          <w:szCs w:val="16"/>
          <w:color w:val="auto"/>
        </w:rPr>
        <w:t>Amount beneficially owned:</w:t>
      </w:r>
    </w:p>
    <w:p>
      <w:pPr>
        <w:spacing w:after="0" w:line="117" w:lineRule="exact"/>
        <w:rPr>
          <w:sz w:val="20"/>
          <w:szCs w:val="20"/>
          <w:color w:val="auto"/>
        </w:rPr>
      </w:pPr>
    </w:p>
    <w:p>
      <w:pPr>
        <w:ind w:left="2320" w:right="460" w:hanging="449"/>
        <w:spacing w:after="0" w:line="277" w:lineRule="auto"/>
        <w:rPr>
          <w:sz w:val="20"/>
          <w:szCs w:val="20"/>
          <w:color w:val="auto"/>
        </w:rPr>
      </w:pPr>
      <w:r>
        <w:rPr>
          <w:rFonts w:ascii="Arial" w:cs="Arial" w:eastAsia="Arial" w:hAnsi="Arial"/>
          <w:sz w:val="18"/>
          <w:szCs w:val="18"/>
          <w:color w:val="auto"/>
        </w:rPr>
        <w:t>(i)    Bucantini directly owns 5,605,937 shares of Class A common stock, which represents approximately 2.28% of the outstanding shares of Class A common stock of the Issuer.</w:t>
      </w:r>
    </w:p>
    <w:p>
      <w:pPr>
        <w:spacing w:after="0" w:line="62" w:lineRule="exact"/>
        <w:rPr>
          <w:sz w:val="20"/>
          <w:szCs w:val="20"/>
          <w:color w:val="auto"/>
        </w:rPr>
      </w:pPr>
    </w:p>
    <w:p>
      <w:pPr>
        <w:ind w:left="2320" w:right="360" w:hanging="449"/>
        <w:spacing w:after="0" w:line="277" w:lineRule="auto"/>
        <w:rPr>
          <w:sz w:val="20"/>
          <w:szCs w:val="20"/>
          <w:color w:val="auto"/>
        </w:rPr>
      </w:pPr>
      <w:r>
        <w:rPr>
          <w:rFonts w:ascii="Arial" w:cs="Arial" w:eastAsia="Arial" w:hAnsi="Arial"/>
          <w:sz w:val="18"/>
          <w:szCs w:val="18"/>
          <w:color w:val="auto"/>
        </w:rPr>
        <w:t>(ii)   Star Arrow directly owns 4,685,439 shares of Class A common stock, which represents approximately 1.91% of the outstanding shares of Class A common stock of the Issuer.</w:t>
      </w:r>
    </w:p>
    <w:p>
      <w:pPr>
        <w:spacing w:after="0" w:line="62" w:lineRule="exact"/>
        <w:rPr>
          <w:sz w:val="20"/>
          <w:szCs w:val="20"/>
          <w:color w:val="auto"/>
        </w:rPr>
      </w:pPr>
    </w:p>
    <w:p>
      <w:pPr>
        <w:ind w:left="2320" w:right="40" w:hanging="449"/>
        <w:spacing w:after="0" w:line="263" w:lineRule="auto"/>
        <w:rPr>
          <w:sz w:val="20"/>
          <w:szCs w:val="20"/>
          <w:color w:val="auto"/>
        </w:rPr>
      </w:pPr>
      <w:r>
        <w:rPr>
          <w:rFonts w:ascii="Arial" w:cs="Arial" w:eastAsia="Arial" w:hAnsi="Arial"/>
          <w:sz w:val="18"/>
          <w:szCs w:val="18"/>
          <w:color w:val="auto"/>
        </w:rPr>
        <w:t>(iii)    Prime Doyen is the sole shareholder of Bucantini, and as such, Prime Doyen may also be deemed to beneficially own 5,605,937 shares of Class A common stock, which represents approximately 2.28% of the outstanding shares of Class A common stock of the Issuer.</w:t>
      </w:r>
    </w:p>
    <w:p>
      <w:pPr>
        <w:spacing w:after="0" w:line="76" w:lineRule="exact"/>
        <w:rPr>
          <w:sz w:val="20"/>
          <w:szCs w:val="20"/>
          <w:color w:val="auto"/>
        </w:rPr>
      </w:pPr>
    </w:p>
    <w:p>
      <w:pPr>
        <w:ind w:left="2320" w:right="160"/>
        <w:spacing w:after="0" w:line="263" w:lineRule="auto"/>
        <w:rPr>
          <w:sz w:val="20"/>
          <w:szCs w:val="20"/>
          <w:color w:val="auto"/>
        </w:rPr>
      </w:pPr>
      <w:r>
        <w:rPr>
          <w:rFonts w:ascii="Arial" w:cs="Arial" w:eastAsia="Arial" w:hAnsi="Arial"/>
          <w:sz w:val="18"/>
          <w:szCs w:val="18"/>
          <w:color w:val="auto"/>
        </w:rPr>
        <w:t>Prime Doyen is also the sole shareholder of Star Arrow, and as such, Prime Doyen may also be deemed to beneficially own 4,685,439 shares of Class A common stock, which represents approximately 1.91% of the outstanding shares of Class A common stock of the Issuer.</w:t>
      </w:r>
    </w:p>
    <w:p>
      <w:pPr>
        <w:spacing w:after="0" w:line="76" w:lineRule="exact"/>
        <w:rPr>
          <w:sz w:val="20"/>
          <w:szCs w:val="20"/>
          <w:color w:val="auto"/>
        </w:rPr>
      </w:pPr>
    </w:p>
    <w:p>
      <w:pPr>
        <w:ind w:left="2320" w:right="380"/>
        <w:spacing w:after="0" w:line="277" w:lineRule="auto"/>
        <w:rPr>
          <w:sz w:val="20"/>
          <w:szCs w:val="20"/>
          <w:color w:val="auto"/>
        </w:rPr>
      </w:pPr>
      <w:r>
        <w:rPr>
          <w:rFonts w:ascii="Arial" w:cs="Arial" w:eastAsia="Arial" w:hAnsi="Arial"/>
          <w:sz w:val="18"/>
          <w:szCs w:val="18"/>
          <w:color w:val="auto"/>
        </w:rPr>
        <w:t>Collectively, Prime Doyen may be deemed to beneficially own 10,291,376 shares of Class A common stock, which represents 4.19% of the outstanding shares of Class A common stock of the Issuer.</w:t>
      </w:r>
    </w:p>
    <w:p>
      <w:pPr>
        <w:spacing w:after="0" w:line="62" w:lineRule="exact"/>
        <w:rPr>
          <w:sz w:val="20"/>
          <w:szCs w:val="20"/>
          <w:color w:val="auto"/>
        </w:rPr>
      </w:pPr>
    </w:p>
    <w:p>
      <w:pPr>
        <w:ind w:left="2320" w:right="440" w:hanging="449"/>
        <w:spacing w:after="0" w:line="277" w:lineRule="auto"/>
        <w:rPr>
          <w:sz w:val="20"/>
          <w:szCs w:val="20"/>
          <w:color w:val="auto"/>
        </w:rPr>
      </w:pPr>
      <w:r>
        <w:rPr>
          <w:rFonts w:ascii="Arial" w:cs="Arial" w:eastAsia="Arial" w:hAnsi="Arial"/>
          <w:sz w:val="18"/>
          <w:szCs w:val="18"/>
          <w:color w:val="auto"/>
        </w:rPr>
        <w:t>(iv)  Bonus Goal directly owns 350,000 shares of Class A common stock, which represents approximately 0.14% of the outstanding shares of Class A common stock of the Issuer.</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     Insight Advance directly owns nil share of Class A common stock.</w:t>
      </w:r>
    </w:p>
    <w:p>
      <w:pPr>
        <w:spacing w:after="0" w:line="117" w:lineRule="exact"/>
        <w:rPr>
          <w:sz w:val="20"/>
          <w:szCs w:val="20"/>
          <w:color w:val="auto"/>
        </w:rPr>
      </w:pPr>
    </w:p>
    <w:p>
      <w:pPr>
        <w:ind w:left="2320" w:right="60" w:hanging="449"/>
        <w:spacing w:after="0" w:line="263" w:lineRule="auto"/>
        <w:rPr>
          <w:sz w:val="20"/>
          <w:szCs w:val="20"/>
          <w:color w:val="auto"/>
        </w:rPr>
      </w:pPr>
      <w:r>
        <w:rPr>
          <w:rFonts w:ascii="Arial" w:cs="Arial" w:eastAsia="Arial" w:hAnsi="Arial"/>
          <w:sz w:val="18"/>
          <w:szCs w:val="18"/>
          <w:color w:val="auto"/>
        </w:rPr>
        <w:t>(vi)  Prime Tech is the sole shareholder of Bonus Goal and Insight Advance, and as such, Prime Tech may also be deemed to beneficially own 350,000 shares of Class A common stock, which represents approximately 0.14% of the outstanding shares of Class A common stock of the Issuer.</w:t>
      </w:r>
    </w:p>
    <w:p>
      <w:pPr>
        <w:spacing w:after="0" w:line="76" w:lineRule="exact"/>
        <w:rPr>
          <w:sz w:val="20"/>
          <w:szCs w:val="20"/>
          <w:color w:val="auto"/>
        </w:rPr>
      </w:pPr>
    </w:p>
    <w:p>
      <w:pPr>
        <w:ind w:left="2320" w:hanging="449"/>
        <w:spacing w:after="0" w:line="263" w:lineRule="auto"/>
        <w:rPr>
          <w:sz w:val="20"/>
          <w:szCs w:val="20"/>
          <w:color w:val="auto"/>
        </w:rPr>
      </w:pPr>
      <w:r>
        <w:rPr>
          <w:rFonts w:ascii="Arial" w:cs="Arial" w:eastAsia="Arial" w:hAnsi="Arial"/>
          <w:sz w:val="18"/>
          <w:szCs w:val="18"/>
          <w:color w:val="auto"/>
        </w:rPr>
        <w:t>(vii)   Mayspin is the sole shareholder of Prime Doyen, which is the sole shareholder of Bucantini and Star Arrow, and as such, Mayspin may also be deemed to beneficially own 10,291,376 shares of Class A common stock, which represents approximately 4.19% of the outstanding shares of Class A common stock of the Issuer.</w:t>
      </w:r>
    </w:p>
    <w:p>
      <w:pPr>
        <w:spacing w:after="0" w:line="76" w:lineRule="exact"/>
        <w:rPr>
          <w:sz w:val="20"/>
          <w:szCs w:val="20"/>
          <w:color w:val="auto"/>
        </w:rPr>
      </w:pPr>
    </w:p>
    <w:p>
      <w:pPr>
        <w:ind w:left="2320" w:right="160"/>
        <w:spacing w:after="0" w:line="286" w:lineRule="auto"/>
        <w:rPr>
          <w:sz w:val="20"/>
          <w:szCs w:val="20"/>
          <w:color w:val="auto"/>
        </w:rPr>
      </w:pPr>
      <w:r>
        <w:rPr>
          <w:rFonts w:ascii="Arial" w:cs="Arial" w:eastAsia="Arial" w:hAnsi="Arial"/>
          <w:sz w:val="17"/>
          <w:szCs w:val="17"/>
          <w:color w:val="auto"/>
        </w:rPr>
        <w:t>Mayspin is also the sole shareholder of Prime Tech, which is the sole shareholder of Bonus Goal and Insight Advance, and as such, Mayspin may also be deemed to beneficially own 350,000 shares of the Class A common stock, which represents approximately 0.14% of the outstanding shares of Class A common stock of the Issuer.</w:t>
      </w:r>
    </w:p>
    <w:p>
      <w:pPr>
        <w:spacing w:after="0" w:line="57" w:lineRule="exact"/>
        <w:rPr>
          <w:sz w:val="20"/>
          <w:szCs w:val="20"/>
          <w:color w:val="auto"/>
        </w:rPr>
      </w:pPr>
    </w:p>
    <w:p>
      <w:pPr>
        <w:ind w:left="2320" w:right="700"/>
        <w:spacing w:after="0" w:line="277" w:lineRule="auto"/>
        <w:rPr>
          <w:sz w:val="20"/>
          <w:szCs w:val="20"/>
          <w:color w:val="auto"/>
        </w:rPr>
      </w:pPr>
      <w:r>
        <w:rPr>
          <w:rFonts w:ascii="Arial" w:cs="Arial" w:eastAsia="Arial" w:hAnsi="Arial"/>
          <w:sz w:val="18"/>
          <w:szCs w:val="18"/>
          <w:color w:val="auto"/>
        </w:rPr>
        <w:t>Collectively, Mayspin may be deemed to beneficially own 10,641,376 shares of Class A common stock, which represents 4.33% of the outstanding shares of Class A common stock of the Issuer.</w:t>
      </w:r>
    </w:p>
    <w:p>
      <w:pPr>
        <w:spacing w:after="0" w:line="62" w:lineRule="exact"/>
        <w:rPr>
          <w:sz w:val="20"/>
          <w:szCs w:val="20"/>
          <w:color w:val="auto"/>
        </w:rPr>
      </w:pPr>
    </w:p>
    <w:p>
      <w:pPr>
        <w:jc w:val="both"/>
        <w:ind w:left="2320" w:right="80" w:hanging="449"/>
        <w:spacing w:after="0" w:line="311" w:lineRule="auto"/>
        <w:rPr>
          <w:sz w:val="20"/>
          <w:szCs w:val="20"/>
          <w:color w:val="auto"/>
        </w:rPr>
      </w:pPr>
      <w:r>
        <w:rPr>
          <w:rFonts w:ascii="Arial" w:cs="Arial" w:eastAsia="Arial" w:hAnsi="Arial"/>
          <w:sz w:val="16"/>
          <w:szCs w:val="16"/>
          <w:color w:val="auto"/>
        </w:rPr>
        <w:t>(viii)  Mr. Li is the sole shareholder of Mayspin, which is the sole shareholder of Prime Doyen, which is the sole shareholder of Bucantini and Star Arrow, and as such, Mr. Li may also be deemed to beneficially own 10,291,376 shares of Class A common stock, which represents approximately 4.19% of the outstanding shares of Class A common stock.</w:t>
      </w:r>
    </w:p>
    <w:p>
      <w:pPr>
        <w:spacing w:after="0" w:line="41" w:lineRule="exact"/>
        <w:rPr>
          <w:sz w:val="20"/>
          <w:szCs w:val="20"/>
          <w:color w:val="auto"/>
        </w:rPr>
      </w:pPr>
    </w:p>
    <w:p>
      <w:pPr>
        <w:ind w:left="2320" w:right="200"/>
        <w:spacing w:after="0" w:line="259" w:lineRule="auto"/>
        <w:rPr>
          <w:sz w:val="20"/>
          <w:szCs w:val="20"/>
          <w:color w:val="auto"/>
        </w:rPr>
      </w:pPr>
      <w:r>
        <w:rPr>
          <w:rFonts w:ascii="Arial" w:cs="Arial" w:eastAsia="Arial" w:hAnsi="Arial"/>
          <w:sz w:val="18"/>
          <w:szCs w:val="18"/>
          <w:color w:val="auto"/>
        </w:rPr>
        <w:t>Since Mayspin is also the sole shareholder of Prime Tech, which is the sole shareholder of Bonus Goal and Insight Advance, Mr. Li, as the sole shareholder of Mayspin, may also be deemed to beneficially own 350,000 shares of the Class A common stock, which represents approximately 0.14% of the outstanding shares of Class A common stock of the Issuer.</w:t>
      </w:r>
    </w:p>
    <w:p>
      <w:pPr>
        <w:spacing w:after="0" w:line="79" w:lineRule="exact"/>
        <w:rPr>
          <w:sz w:val="20"/>
          <w:szCs w:val="20"/>
          <w:color w:val="auto"/>
        </w:rPr>
      </w:pPr>
    </w:p>
    <w:p>
      <w:pPr>
        <w:ind w:left="2320" w:right="100"/>
        <w:spacing w:after="0" w:line="277" w:lineRule="auto"/>
        <w:rPr>
          <w:sz w:val="20"/>
          <w:szCs w:val="20"/>
          <w:color w:val="auto"/>
        </w:rPr>
      </w:pPr>
      <w:r>
        <w:rPr>
          <w:rFonts w:ascii="Arial" w:cs="Arial" w:eastAsia="Arial" w:hAnsi="Arial"/>
          <w:sz w:val="18"/>
          <w:szCs w:val="18"/>
          <w:color w:val="auto"/>
        </w:rPr>
        <w:t>Collectively, Mr. Li may be deemed to beneficially own 10,641,376 shares of Class A common stock, which represents 4.33% of the outstanding shares of Class A common stock of the Issuer.</w:t>
      </w:r>
    </w:p>
    <w:p>
      <w:pPr>
        <w:sectPr>
          <w:pgSz w:w="11900" w:h="16838" w:orient="portrait"/>
          <w:cols w:equalWidth="0" w:num="1">
            <w:col w:w="11000"/>
          </w:cols>
          <w:pgMar w:left="440" w:top="486" w:right="459" w:bottom="1440" w:gutter="0" w:footer="0" w:header="0"/>
        </w:sectPr>
      </w:pPr>
    </w:p>
    <w:bookmarkStart w:id="11" w:name="page12"/>
    <w:bookmarkEnd w:id="11"/>
    <w:p>
      <w:pPr>
        <w:ind w:left="984"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percentages of share ownership calculated based on 245,652,118 shares of Class A common stock (as reported in the Issuer’s Quarterly Report on Form 10-Q as filed by the Issuer with the SEC on November 23, 2022).</w:t>
      </w:r>
    </w:p>
    <w:p>
      <w:pPr>
        <w:spacing w:after="0" w:line="197"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5900" w:type="dxa"/>
            <w:vAlign w:val="bottom"/>
            <w:vMerge w:val="restart"/>
          </w:tcPr>
          <w:p>
            <w:pPr>
              <w:spacing w:after="0"/>
              <w:rPr>
                <w:sz w:val="14"/>
                <w:szCs w:val="14"/>
                <w:color w:val="auto"/>
              </w:rPr>
            </w:pPr>
          </w:p>
        </w:tc>
        <w:tc>
          <w:tcPr>
            <w:tcW w:w="3120" w:type="dxa"/>
            <w:vAlign w:val="bottom"/>
            <w:gridSpan w:val="8"/>
          </w:tcPr>
          <w:p>
            <w:pPr>
              <w:ind w:left="180"/>
              <w:spacing w:after="0"/>
              <w:rPr>
                <w:sz w:val="20"/>
                <w:szCs w:val="20"/>
                <w:color w:val="auto"/>
              </w:rPr>
            </w:pPr>
            <w:r>
              <w:rPr>
                <w:rFonts w:ascii="Arial" w:cs="Arial" w:eastAsia="Arial" w:hAnsi="Arial"/>
                <w:sz w:val="14"/>
                <w:szCs w:val="14"/>
                <w:b w:val="1"/>
                <w:bCs w:val="1"/>
                <w:color w:val="auto"/>
                <w:w w:val="97"/>
              </w:rPr>
              <w:t>Number of Shares of Class A Common Stock</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5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(i)</w:t>
            </w:r>
          </w:p>
        </w:tc>
        <w:tc>
          <w:tcPr>
            <w:tcW w:w="1120" w:type="dxa"/>
            <w:vAlign w:val="bottom"/>
            <w:tcBorders>
              <w:top w:val="single" w:sz="8" w:color="auto"/>
            </w:tcBorders>
            <w:gridSpan w:val="2"/>
          </w:tcPr>
          <w:p>
            <w:pPr>
              <w:ind w:left="340"/>
              <w:spacing w:after="0" w:line="129" w:lineRule="exact"/>
              <w:rPr>
                <w:sz w:val="20"/>
                <w:szCs w:val="20"/>
                <w:color w:val="auto"/>
              </w:rPr>
            </w:pPr>
            <w:r>
              <w:rPr>
                <w:rFonts w:ascii="Arial" w:cs="Arial" w:eastAsia="Arial" w:hAnsi="Arial"/>
                <w:sz w:val="14"/>
                <w:szCs w:val="14"/>
                <w:b w:val="1"/>
                <w:bCs w:val="1"/>
                <w:color w:val="auto"/>
              </w:rPr>
              <w:t>(ii)</w:t>
            </w:r>
          </w:p>
        </w:tc>
        <w:tc>
          <w:tcPr>
            <w:tcW w:w="5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(iii)</w:t>
            </w:r>
          </w:p>
        </w:tc>
        <w:tc>
          <w:tcPr>
            <w:tcW w:w="90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 Ka Shing</w:t>
            </w: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10,641,376</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10,641,376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Mayspin Management Limited</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10,641,376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10,641,376</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Doyen Limited</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10,291,376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10,291,376</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Bucantini Enterprises Limited</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5,605,937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5,605,937</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 Arrow Limited</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4,685,439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4,685,439</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Prime Tech Global Limited</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350,000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Goal International Limited</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Insight Advance Limited</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64" w:hanging="532"/>
        <w:spacing w:after="0"/>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4" w:right="2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right="52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1104"/>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4"/>
          </w:cols>
          <w:pgMar w:left="436" w:top="274" w:right="519"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900"/>
          </w:cols>
          <w:pgMar w:left="440" w:top="270" w:right="5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4"/>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2023-02-14T05:53:27Z</dcterms:created>
  <dcterms:modified xsi:type="dcterms:W3CDTF">2023-02-14T05:53:27Z</dcterms:modified>
</cp:coreProperties>
</file>