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Zoom Video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Common Stock,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98980L101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40" w:firstLine="77"/>
        <w:spacing w:after="0" w:line="253" w:lineRule="exact"/>
        <w:tabs>
          <w:tab w:leader="none" w:pos="10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5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12"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632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2 of 5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320" w:type="dxa"/>
            <w:vAlign w:val="bottom"/>
            <w:vMerge w:val="restart"/>
          </w:tcPr>
          <w:p>
            <w:pPr>
              <w:ind w:left="80"/>
              <w:spacing w:after="0"/>
              <w:rPr>
                <w:sz w:val="20"/>
                <w:szCs w:val="20"/>
                <w:color w:val="auto"/>
              </w:rPr>
            </w:pPr>
            <w:r>
              <w:rPr>
                <w:rFonts w:ascii="Arial" w:cs="Arial" w:eastAsia="Arial" w:hAnsi="Arial"/>
                <w:sz w:val="20"/>
                <w:szCs w:val="20"/>
                <w:color w:val="auto"/>
              </w:rPr>
              <w:t>Hillhouse Capital Management, Ltd.</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Cayman Islands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2,981,265 shares of Class A Common Stock</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2,981,265 shares of Class A Common Stock</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2,981,265 shares of Class A Common Stock</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1.5%</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IA</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5 Pages</w:t>
      </w:r>
    </w:p>
    <w:p>
      <w:pPr>
        <w:spacing w:after="0" w:line="11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Zoom Video Communications, Inc.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07"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Company's principal executive office is located at 55 Almaden Boulevard, 6th Floor, San Jose, California 95113.</w:t>
      </w:r>
    </w:p>
    <w:p>
      <w:pPr>
        <w:spacing w:after="0" w:line="217"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2" w:lineRule="exact"/>
        <w:rPr>
          <w:sz w:val="20"/>
          <w:szCs w:val="20"/>
          <w:color w:val="auto"/>
        </w:rPr>
      </w:pPr>
    </w:p>
    <w:p>
      <w:pPr>
        <w:ind w:left="1700" w:right="220"/>
        <w:spacing w:after="0"/>
        <w:rPr>
          <w:sz w:val="20"/>
          <w:szCs w:val="20"/>
          <w:color w:val="auto"/>
        </w:rPr>
      </w:pPr>
      <w:r>
        <w:rPr>
          <w:rFonts w:ascii="Arial" w:cs="Arial" w:eastAsia="Arial" w:hAnsi="Arial"/>
          <w:sz w:val="20"/>
          <w:szCs w:val="20"/>
          <w:color w:val="auto"/>
        </w:rPr>
        <w:t>This statement is filed by Hillhouse Capital Management, Ltd., an exempted Cayman Islands company ("</w:t>
      </w:r>
      <w:r>
        <w:rPr>
          <w:rFonts w:ascii="Arial" w:cs="Arial" w:eastAsia="Arial" w:hAnsi="Arial"/>
          <w:sz w:val="20"/>
          <w:szCs w:val="20"/>
          <w:u w:val="single" w:color="auto"/>
          <w:color w:val="auto"/>
        </w:rPr>
        <w:t>Hillhouse</w:t>
      </w:r>
      <w:r>
        <w:rPr>
          <w:rFonts w:ascii="Arial" w:cs="Arial" w:eastAsia="Arial" w:hAnsi="Arial"/>
          <w:sz w:val="20"/>
          <w:szCs w:val="20"/>
          <w:color w:val="auto"/>
        </w:rPr>
        <w:t xml:space="preserve"> </w:t>
      </w:r>
      <w:r>
        <w:rPr>
          <w:rFonts w:ascii="Arial" w:cs="Arial" w:eastAsia="Arial" w:hAnsi="Arial"/>
          <w:sz w:val="20"/>
          <w:szCs w:val="20"/>
          <w:u w:val="single" w:color="auto"/>
          <w:color w:val="auto"/>
        </w:rPr>
        <w:t>Capital</w:t>
      </w:r>
      <w:r>
        <w:rPr>
          <w:rFonts w:ascii="Arial" w:cs="Arial" w:eastAsia="Arial" w:hAnsi="Arial"/>
          <w:sz w:val="20"/>
          <w:szCs w:val="20"/>
          <w:color w:val="auto"/>
        </w:rPr>
        <w:t>" or the "</w:t>
      </w:r>
      <w:r>
        <w:rPr>
          <w:rFonts w:ascii="Arial" w:cs="Arial" w:eastAsia="Arial" w:hAnsi="Arial"/>
          <w:sz w:val="20"/>
          <w:szCs w:val="20"/>
          <w:u w:val="single" w:color="auto"/>
          <w:color w:val="auto"/>
        </w:rPr>
        <w:t>Reporting Person</w:t>
      </w:r>
      <w:r>
        <w:rPr>
          <w:rFonts w:ascii="Arial" w:cs="Arial" w:eastAsia="Arial" w:hAnsi="Arial"/>
          <w:sz w:val="20"/>
          <w:szCs w:val="20"/>
          <w:color w:val="auto"/>
        </w:rPr>
        <w:t>"), with respect to the shares of Class A Common Stock (as defined in Item 2(d) below) held by (and underlying shares of Class B Common Stock held by) certain funds and/or accounts managed by Hillhouse Capital (the "</w:t>
      </w:r>
      <w:r>
        <w:rPr>
          <w:rFonts w:ascii="Arial" w:cs="Arial" w:eastAsia="Arial" w:hAnsi="Arial"/>
          <w:sz w:val="20"/>
          <w:szCs w:val="20"/>
          <w:u w:val="single" w:color="auto"/>
          <w:color w:val="auto"/>
        </w:rPr>
        <w:t>Hillhouse Entities</w:t>
      </w:r>
      <w:r>
        <w:rPr>
          <w:rFonts w:ascii="Arial" w:cs="Arial" w:eastAsia="Arial" w:hAnsi="Arial"/>
          <w:sz w:val="20"/>
          <w:szCs w:val="20"/>
          <w:color w:val="auto"/>
        </w:rPr>
        <w:t>"). Hillhouse Capital acts as the sole management company of the Hillhouse Entities. Hillhouse Capital is hereby deemed to be the sole beneficial owner of, and to solely control the voting and investment power of, the shares of Class A Common Stock held by and underlying shares of Class B Common Stock held by the Hillhouse Entities.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color w:val="auto"/>
                <w:w w:val="88"/>
              </w:rPr>
              <w:t>The address of the business office of the Reporting Person is Suite 2202, 22nd Floor, Two International Finance Centre, 8</w:t>
            </w:r>
          </w:p>
        </w:tc>
      </w:tr>
      <w:tr>
        <w:trPr>
          <w:trHeight w:val="250"/>
        </w:trPr>
        <w:tc>
          <w:tcPr>
            <w:tcW w:w="1260" w:type="dxa"/>
            <w:vAlign w:val="bottom"/>
          </w:tcPr>
          <w:p>
            <w:pPr>
              <w:spacing w:after="0"/>
              <w:rPr>
                <w:sz w:val="21"/>
                <w:szCs w:val="21"/>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color w:val="auto"/>
              </w:rPr>
              <w:t>Finance Street, Central Hong Kong.</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760" w:type="dxa"/>
            <w:vAlign w:val="bottom"/>
            <w:gridSpan w:val="2"/>
          </w:tcPr>
          <w:p>
            <w:pPr>
              <w:ind w:left="440"/>
              <w:spacing w:after="0"/>
              <w:rPr>
                <w:sz w:val="20"/>
                <w:szCs w:val="20"/>
                <w:color w:val="auto"/>
              </w:rPr>
            </w:pPr>
            <w:r>
              <w:rPr>
                <w:rFonts w:ascii="Arial" w:cs="Arial" w:eastAsia="Arial" w:hAnsi="Arial"/>
                <w:sz w:val="20"/>
                <w:szCs w:val="20"/>
                <w:b w:val="1"/>
                <w:bCs w:val="1"/>
                <w:color w:val="auto"/>
              </w:rPr>
              <w:t>CITIZENSHIP</w:t>
            </w:r>
          </w:p>
        </w:tc>
        <w:tc>
          <w:tcPr>
            <w:tcW w:w="3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1760" w:type="dxa"/>
            <w:vAlign w:val="bottom"/>
            <w:gridSpan w:val="2"/>
          </w:tcPr>
          <w:p>
            <w:pPr>
              <w:ind w:left="440"/>
              <w:spacing w:after="0"/>
              <w:rPr>
                <w:sz w:val="20"/>
                <w:szCs w:val="20"/>
                <w:color w:val="auto"/>
              </w:rPr>
            </w:pPr>
            <w:r>
              <w:rPr>
                <w:rFonts w:ascii="Arial" w:cs="Arial" w:eastAsia="Arial" w:hAnsi="Arial"/>
                <w:sz w:val="20"/>
                <w:szCs w:val="20"/>
                <w:color w:val="auto"/>
                <w:w w:val="90"/>
              </w:rPr>
              <w:t>Cayman Islands</w:t>
            </w:r>
          </w:p>
        </w:tc>
        <w:tc>
          <w:tcPr>
            <w:tcW w:w="34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98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Class A Common Stock, par value of $0.001 per share (the "Class A Common Stock").</w:t>
            </w:r>
          </w:p>
        </w:tc>
      </w:tr>
      <w:tr>
        <w:trPr>
          <w:trHeight w:val="44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524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90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1760" w:type="dxa"/>
            <w:vAlign w:val="bottom"/>
            <w:gridSpan w:val="2"/>
          </w:tcPr>
          <w:p>
            <w:pPr>
              <w:ind w:left="440"/>
              <w:spacing w:after="0"/>
              <w:rPr>
                <w:sz w:val="20"/>
                <w:szCs w:val="20"/>
                <w:color w:val="auto"/>
              </w:rPr>
            </w:pPr>
            <w:r>
              <w:rPr>
                <w:rFonts w:ascii="Arial" w:cs="Arial" w:eastAsia="Arial" w:hAnsi="Arial"/>
                <w:sz w:val="20"/>
                <w:szCs w:val="20"/>
                <w:color w:val="auto"/>
              </w:rPr>
              <w:t>98980L101</w:t>
            </w:r>
          </w:p>
        </w:tc>
        <w:tc>
          <w:tcPr>
            <w:tcW w:w="34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(a)</w:t>
            </w:r>
          </w:p>
        </w:tc>
        <w:tc>
          <w:tcPr>
            <w:tcW w:w="7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2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(b)</w:t>
            </w:r>
          </w:p>
        </w:tc>
        <w:tc>
          <w:tcPr>
            <w:tcW w:w="7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2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(c)</w:t>
            </w:r>
          </w:p>
        </w:tc>
        <w:tc>
          <w:tcPr>
            <w:tcW w:w="7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2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(d)</w:t>
            </w:r>
          </w:p>
        </w:tc>
        <w:tc>
          <w:tcPr>
            <w:tcW w:w="7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2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2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(e)</w:t>
            </w:r>
          </w:p>
        </w:tc>
        <w:tc>
          <w:tcPr>
            <w:tcW w:w="780" w:type="dxa"/>
            <w:vAlign w:val="bottom"/>
          </w:tcPr>
          <w:p>
            <w:pPr>
              <w:jc w:val="center"/>
              <w:spacing w:after="0"/>
              <w:rPr>
                <w:sz w:val="20"/>
                <w:szCs w:val="20"/>
                <w:color w:val="auto"/>
              </w:rPr>
            </w:pPr>
            <w:r>
              <w:rPr>
                <w:rFonts w:ascii="Arial" w:cs="Arial" w:eastAsia="Arial" w:hAnsi="Arial"/>
                <w:sz w:val="20"/>
                <w:szCs w:val="20"/>
                <w:color w:val="auto"/>
                <w:w w:val="99"/>
              </w:rPr>
              <w:t>ý</w:t>
            </w:r>
          </w:p>
        </w:tc>
        <w:tc>
          <w:tcPr>
            <w:tcW w:w="8220" w:type="dxa"/>
            <w:vAlign w:val="bottom"/>
            <w:gridSpan w:val="3"/>
          </w:tcPr>
          <w:p>
            <w:pPr>
              <w:ind w:left="2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81"/>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(f)</w:t>
            </w:r>
          </w:p>
        </w:tc>
        <w:tc>
          <w:tcPr>
            <w:tcW w:w="7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6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(g)</w:t>
            </w:r>
          </w:p>
        </w:tc>
        <w:tc>
          <w:tcPr>
            <w:tcW w:w="7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6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5 Pages</w:t>
      </w:r>
    </w:p>
    <w:p>
      <w:pPr>
        <w:spacing w:after="0" w:line="95" w:lineRule="exact"/>
        <w:rPr>
          <w:sz w:val="20"/>
          <w:szCs w:val="20"/>
          <w:color w:val="auto"/>
        </w:rPr>
      </w:pPr>
    </w:p>
    <w:p>
      <w:pPr>
        <w:ind w:left="2560" w:hanging="865"/>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040" w:right="260" w:hanging="1345"/>
        <w:spacing w:after="0" w:line="252" w:lineRule="exact"/>
        <w:tabs>
          <w:tab w:leader="none" w:pos="2572"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560" w:hanging="865"/>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560" w:hanging="865"/>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53" w:lineRule="exact"/>
        <w:rPr>
          <w:sz w:val="20"/>
          <w:szCs w:val="20"/>
          <w:color w:val="auto"/>
        </w:rPr>
      </w:pPr>
    </w:p>
    <w:p>
      <w:pPr>
        <w:ind w:left="1700" w:right="29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institution:__________________________</w:t>
      </w:r>
    </w:p>
    <w:p>
      <w:pPr>
        <w:sectPr>
          <w:pgSz w:w="11900" w:h="16838" w:orient="portrait"/>
          <w:cols w:equalWidth="0" w:num="1">
            <w:col w:w="11240"/>
          </w:cols>
          <w:pgMar w:left="320" w:top="229"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set forth in this Schedule 13G/A is calculated based upon an aggregate of 198,715,606 shares of Class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 Stock reported to be issued and outstanding as of November 20, 2020, as reported in the Company's Quarterly</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Report on Form 10-Q for the quarterly period ended October 31, 2020 filed with the Securities and Exchange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Commission on December 4, 2020.</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13" w:lineRule="exact"/>
        <w:rPr>
          <w:sz w:val="20"/>
          <w:szCs w:val="20"/>
          <w:color w:val="auto"/>
        </w:rPr>
      </w:pPr>
    </w:p>
    <w:p>
      <w:pPr>
        <w:ind w:left="1700" w:right="2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the Reporting Person and is incorporated herein by reference.</w:t>
      </w:r>
    </w:p>
    <w:p>
      <w:pPr>
        <w:sectPr>
          <w:pgSz w:w="11900" w:h="16838" w:orient="portrait"/>
          <w:cols w:equalWidth="0" w:num="1">
            <w:col w:w="11240"/>
          </w:cols>
          <w:pgMar w:left="320" w:top="229" w:right="3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 OF FIVE PERCENT OR LESS OF A CLASS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beneficial owner of more than five percent of the class of securities, check the following: ý</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ind w:right="1760"/>
        <w:spacing w:after="0" w:line="267" w:lineRule="auto"/>
        <w:rPr>
          <w:sz w:val="20"/>
          <w:szCs w:val="20"/>
          <w:color w:val="auto"/>
        </w:rPr>
      </w:pP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See Item 2.</w:t>
      </w:r>
    </w:p>
    <w:p>
      <w:pPr>
        <w:spacing w:after="0" w:line="177"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20"/>
          <w:szCs w:val="20"/>
          <w:b w:val="1"/>
          <w:bCs w:val="1"/>
          <w:color w:val="auto"/>
        </w:rPr>
        <w:t xml:space="preserve">IDENTIFICATION AND CLASSIFICATION OF THE SUBSIDIARY WHICH ACQUIRED THE SECURITY BEING REPORTED ON BY THE PARENT HOLDING COMPANY OR CONTROL PERSON </w:t>
      </w:r>
      <w:r>
        <w:rPr>
          <w:rFonts w:ascii="Arial" w:cs="Arial" w:eastAsia="Arial" w:hAnsi="Arial"/>
          <w:sz w:val="20"/>
          <w:szCs w:val="20"/>
          <w:color w:val="auto"/>
        </w:rPr>
        <w:t>Not applicable.</w:t>
      </w:r>
    </w:p>
    <w:p>
      <w:pPr>
        <w:spacing w:after="0" w:line="191"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8.</w:t>
      </w:r>
    </w:p>
    <w:p>
      <w:pPr>
        <w:spacing w:after="0" w:line="20" w:lineRule="exact"/>
        <w:rPr>
          <w:sz w:val="20"/>
          <w:szCs w:val="20"/>
          <w:color w:val="auto"/>
        </w:rPr>
      </w:pPr>
      <w:r>
        <w:rPr>
          <w:sz w:val="20"/>
          <w:szCs w:val="20"/>
          <w:color w:val="auto"/>
        </w:rPr>
        <w:br w:type="column"/>
      </w:r>
    </w:p>
    <w:p>
      <w:pPr>
        <w:ind w:right="2700"/>
        <w:spacing w:after="0" w:line="267" w:lineRule="auto"/>
        <w:rPr>
          <w:sz w:val="20"/>
          <w:szCs w:val="20"/>
          <w:color w:val="auto"/>
        </w:rPr>
      </w:pPr>
      <w:r>
        <w:rPr>
          <w:rFonts w:ascii="Arial" w:cs="Arial" w:eastAsia="Arial" w:hAnsi="Arial"/>
          <w:sz w:val="20"/>
          <w:szCs w:val="20"/>
          <w:b w:val="1"/>
          <w:bCs w:val="1"/>
          <w:color w:val="auto"/>
        </w:rPr>
        <w:t xml:space="preserve">IDENTIFICATION AND CLASSIFICATION OF MEMBERS OF THE GROUP </w:t>
      </w:r>
      <w:r>
        <w:rPr>
          <w:rFonts w:ascii="Arial" w:cs="Arial" w:eastAsia="Arial" w:hAnsi="Arial"/>
          <w:sz w:val="20"/>
          <w:szCs w:val="20"/>
          <w:color w:val="auto"/>
        </w:rPr>
        <w:t>Not applicable.</w:t>
      </w:r>
    </w:p>
    <w:p>
      <w:pPr>
        <w:spacing w:after="0" w:line="177"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 hereby makes the following certification:</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36" w:lineRule="exact"/>
        <w:rPr>
          <w:sz w:val="20"/>
          <w:szCs w:val="20"/>
          <w:color w:val="auto"/>
        </w:rPr>
      </w:pPr>
    </w:p>
    <w:p>
      <w:pPr>
        <w:ind w:left="1700"/>
        <w:spacing w:after="0" w:line="263" w:lineRule="auto"/>
        <w:rPr>
          <w:sz w:val="20"/>
          <w:szCs w:val="20"/>
          <w:color w:val="auto"/>
        </w:rPr>
      </w:pPr>
      <w:r>
        <w:rPr>
          <w:rFonts w:ascii="Arial" w:cs="Arial" w:eastAsia="Arial" w:hAnsi="Arial"/>
          <w:sz w:val="19"/>
          <w:szCs w:val="19"/>
          <w:color w:val="auto"/>
        </w:rPr>
        <w:t>By signing below the Reporting Person certifies that, to the best of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5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knowledge and belief,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16,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HILLHOUSE CAPITAL MANAGEMENT, LTD.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Richard A. Hornung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Richard A. Hornung</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General Counsel and Chief Compliance Officer</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ý"/>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2021-02-16T16:13:05Z</dcterms:created>
  <dcterms:modified xsi:type="dcterms:W3CDTF">2021-02-16T16:13:05Z</dcterms:modified>
</cp:coreProperties>
</file>