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9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-625475</wp:posOffset>
            </wp:positionV>
            <wp:extent cx="58420" cy="638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6993890" cy="638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638873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54"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Bawa Aparna</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280"/>
        <w:spacing w:after="0" w:line="379"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278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5"/>
                <w:szCs w:val="5"/>
                <w:color w:val="auto"/>
              </w:rPr>
            </w:pPr>
          </w:p>
        </w:tc>
        <w:tc>
          <w:tcPr>
            <w:tcW w:w="1340" w:type="dxa"/>
            <w:vAlign w:val="bottom"/>
            <w:vMerge w:val="restart"/>
          </w:tcPr>
          <w:p>
            <w:pPr>
              <w:ind w:left="100"/>
              <w:spacing w:after="0" w:line="123"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217"/>
        </w:trPr>
        <w:tc>
          <w:tcPr>
            <w:tcW w:w="2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12/04/2022</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17" w:right="359" w:bottom="15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8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w w:val="98"/>
              </w:rPr>
              <w:t>Transaction  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13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12/04/2022</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1,711</w:t>
            </w:r>
          </w:p>
        </w:tc>
        <w:tc>
          <w:tcPr>
            <w:tcW w:w="6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jc w:val="center"/>
              <w:ind w:right="6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1"/>
                <w:szCs w:val="21"/>
                <w:color w:val="auto"/>
              </w:rPr>
            </w:pPr>
          </w:p>
        </w:tc>
        <w:tc>
          <w:tcPr>
            <w:tcW w:w="1260" w:type="dxa"/>
            <w:vAlign w:val="bottom"/>
            <w:gridSpan w:val="3"/>
            <w:vMerge w:val="restart"/>
          </w:tcPr>
          <w:p>
            <w:pPr>
              <w:ind w:left="320"/>
              <w:spacing w:after="0"/>
              <w:rPr>
                <w:sz w:val="20"/>
                <w:szCs w:val="20"/>
                <w:color w:val="auto"/>
              </w:rPr>
            </w:pPr>
            <w:r>
              <w:rPr>
                <w:rFonts w:ascii="Times New Roman" w:cs="Times New Roman" w:eastAsia="Times New Roman" w:hAnsi="Times New Roman"/>
                <w:sz w:val="17"/>
                <w:szCs w:val="17"/>
                <w:color w:val="0000FF"/>
              </w:rPr>
              <w:t>81,356</w:t>
            </w:r>
            <w:r>
              <w:rPr>
                <w:rFonts w:ascii="Times New Roman" w:cs="Times New Roman" w:eastAsia="Times New Roman" w:hAnsi="Times New Roman"/>
                <w:sz w:val="21"/>
                <w:szCs w:val="21"/>
                <w:color w:val="008000"/>
                <w:vertAlign w:val="superscript"/>
              </w:rPr>
              <w:t>(1)</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12/04/2022</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33"/>
                <w:szCs w:val="33"/>
                <w:color w:val="0000FF"/>
                <w:vertAlign w:val="subscript"/>
              </w:rPr>
              <w:t>853</w:t>
            </w:r>
            <w:r>
              <w:rPr>
                <w:rFonts w:ascii="Times New Roman" w:cs="Times New Roman" w:eastAsia="Times New Roman" w:hAnsi="Times New Roman"/>
                <w:sz w:val="11"/>
                <w:szCs w:val="11"/>
                <w:color w:val="008000"/>
              </w:rPr>
              <w:t>(3)</w:t>
            </w:r>
          </w:p>
        </w:tc>
        <w:tc>
          <w:tcPr>
            <w:tcW w:w="6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74.26</w:t>
            </w:r>
          </w:p>
        </w:tc>
        <w:tc>
          <w:tcPr>
            <w:tcW w:w="40" w:type="dxa"/>
            <w:vAlign w:val="bottom"/>
          </w:tcPr>
          <w:p>
            <w:pPr>
              <w:spacing w:after="0"/>
              <w:rPr>
                <w:sz w:val="21"/>
                <w:szCs w:val="21"/>
                <w:color w:val="auto"/>
              </w:rPr>
            </w:pPr>
          </w:p>
        </w:tc>
        <w:tc>
          <w:tcPr>
            <w:tcW w:w="1260" w:type="dxa"/>
            <w:vAlign w:val="bottom"/>
            <w:gridSpan w:val="3"/>
            <w:vMerge w:val="restart"/>
          </w:tcPr>
          <w:p>
            <w:pPr>
              <w:ind w:left="320"/>
              <w:spacing w:after="0"/>
              <w:rPr>
                <w:sz w:val="20"/>
                <w:szCs w:val="20"/>
                <w:color w:val="auto"/>
              </w:rPr>
            </w:pPr>
            <w:r>
              <w:rPr>
                <w:rFonts w:ascii="Times New Roman" w:cs="Times New Roman" w:eastAsia="Times New Roman" w:hAnsi="Times New Roman"/>
                <w:sz w:val="17"/>
                <w:szCs w:val="17"/>
                <w:color w:val="0000FF"/>
              </w:rPr>
              <w:t>80,503</w:t>
            </w:r>
            <w:r>
              <w:rPr>
                <w:rFonts w:ascii="Times New Roman" w:cs="Times New Roman" w:eastAsia="Times New Roman" w:hAnsi="Times New Roman"/>
                <w:sz w:val="21"/>
                <w:szCs w:val="21"/>
                <w:color w:val="008000"/>
                <w:vertAlign w:val="superscript"/>
              </w:rPr>
              <w:t>(1)</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49"/>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ind w:right="2"/>
              <w:spacing w:after="0" w:line="129" w:lineRule="exact"/>
              <w:rPr>
                <w:sz w:val="20"/>
                <w:szCs w:val="20"/>
                <w:color w:val="auto"/>
              </w:rPr>
            </w:pPr>
            <w:r>
              <w:rPr>
                <w:rFonts w:ascii="Arial" w:cs="Arial" w:eastAsia="Arial" w:hAnsi="Arial"/>
                <w:sz w:val="12"/>
                <w:szCs w:val="12"/>
                <w:b w:val="1"/>
                <w:bCs w:val="1"/>
                <w:color w:val="auto"/>
                <w:w w:val="95"/>
              </w:rPr>
              <w:t>Expiration</w:t>
            </w:r>
          </w:p>
        </w:tc>
        <w:tc>
          <w:tcPr>
            <w:tcW w:w="64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w w:val="93"/>
              </w:rPr>
              <w:t>(5)</w:t>
            </w:r>
          </w:p>
        </w:tc>
        <w:tc>
          <w:tcPr>
            <w:tcW w:w="64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8"/>
              <w:spacing w:after="0"/>
              <w:rPr>
                <w:sz w:val="20"/>
                <w:szCs w:val="20"/>
                <w:color w:val="auto"/>
              </w:rPr>
            </w:pPr>
            <w:r>
              <w:rPr>
                <w:rFonts w:ascii="Times New Roman" w:cs="Times New Roman" w:eastAsia="Times New Roman" w:hAnsi="Times New Roman"/>
                <w:sz w:val="17"/>
                <w:szCs w:val="17"/>
                <w:color w:val="0000FF"/>
                <w:w w:val="99"/>
              </w:rPr>
              <w:t>6,315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jc w:val="center"/>
              <w:ind w:right="56"/>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5"/>
              </w:rPr>
              <w:t>6,315</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w w:val="93"/>
              </w:rPr>
              <w:t>(6)</w:t>
            </w:r>
          </w:p>
        </w:tc>
        <w:tc>
          <w:tcPr>
            <w:tcW w:w="64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8"/>
              <w:spacing w:after="0"/>
              <w:rPr>
                <w:sz w:val="20"/>
                <w:szCs w:val="20"/>
                <w:color w:val="auto"/>
              </w:rPr>
            </w:pPr>
            <w:r>
              <w:rPr>
                <w:rFonts w:ascii="Times New Roman" w:cs="Times New Roman" w:eastAsia="Times New Roman" w:hAnsi="Times New Roman"/>
                <w:sz w:val="17"/>
                <w:szCs w:val="17"/>
                <w:color w:val="0000FF"/>
                <w:w w:val="97"/>
              </w:rPr>
              <w:t>191,406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jc w:val="center"/>
              <w:ind w:right="56"/>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179,444</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w w:val="93"/>
              </w:rPr>
              <w:t>(7)</w:t>
            </w:r>
          </w:p>
        </w:tc>
        <w:tc>
          <w:tcPr>
            <w:tcW w:w="64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8"/>
              <w:spacing w:after="0"/>
              <w:rPr>
                <w:sz w:val="20"/>
                <w:szCs w:val="20"/>
                <w:color w:val="auto"/>
              </w:rPr>
            </w:pPr>
            <w:r>
              <w:rPr>
                <w:rFonts w:ascii="Times New Roman" w:cs="Times New Roman" w:eastAsia="Times New Roman" w:hAnsi="Times New Roman"/>
                <w:sz w:val="17"/>
                <w:szCs w:val="17"/>
                <w:color w:val="0000FF"/>
                <w:w w:val="98"/>
              </w:rPr>
              <w:t>31,284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jc w:val="center"/>
              <w:ind w:right="56"/>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rPr>
              <w:t>26,815</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w w:val="93"/>
              </w:rPr>
              <w:t>(8)</w:t>
            </w:r>
          </w:p>
        </w:tc>
        <w:tc>
          <w:tcPr>
            <w:tcW w:w="64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8"/>
              <w:spacing w:after="0"/>
              <w:rPr>
                <w:sz w:val="20"/>
                <w:szCs w:val="20"/>
                <w:color w:val="auto"/>
              </w:rPr>
            </w:pPr>
            <w:r>
              <w:rPr>
                <w:rFonts w:ascii="Times New Roman" w:cs="Times New Roman" w:eastAsia="Times New Roman" w:hAnsi="Times New Roman"/>
                <w:sz w:val="17"/>
                <w:szCs w:val="17"/>
                <w:color w:val="0000FF"/>
                <w:w w:val="99"/>
              </w:rPr>
              <w:t>1,711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12/04/2022</w:t>
            </w:r>
          </w:p>
        </w:tc>
        <w:tc>
          <w:tcPr>
            <w:tcW w:w="1120" w:type="dxa"/>
            <w:vAlign w:val="bottom"/>
          </w:tcPr>
          <w:p>
            <w:pPr>
              <w:spacing w:after="0"/>
              <w:rPr>
                <w:sz w:val="12"/>
                <w:szCs w:val="12"/>
                <w:color w:val="auto"/>
              </w:rPr>
            </w:pPr>
          </w:p>
        </w:tc>
        <w:tc>
          <w:tcPr>
            <w:tcW w:w="6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1,711</w:t>
            </w:r>
          </w:p>
        </w:tc>
        <w:tc>
          <w:tcPr>
            <w:tcW w:w="76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jc w:val="center"/>
              <w:ind w:right="56"/>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11,973</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-3062605</wp:posOffset>
            </wp:positionV>
            <wp:extent cx="29210" cy="3067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0676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an option grant that was early exercised by the Reporting Person. The option grant became fully vested on September 5, 2022.</w:t>
      </w:r>
    </w:p>
    <w:p>
      <w:pPr>
        <w:spacing w:after="0" w:line="43" w:lineRule="exact"/>
        <w:rPr>
          <w:rFonts w:ascii="Times New Roman" w:cs="Times New Roman" w:eastAsia="Times New Roman" w:hAnsi="Times New Roman"/>
          <w:sz w:val="13"/>
          <w:szCs w:val="13"/>
          <w:color w:val="008000"/>
        </w:rPr>
      </w:pPr>
    </w:p>
    <w:p>
      <w:pPr>
        <w:ind w:left="40" w:right="3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which will vest in equal quarterly installments over two years.</w:t>
      </w:r>
    </w:p>
    <w:p>
      <w:pPr>
        <w:spacing w:after="0" w:line="43" w:lineRule="exact"/>
        <w:rPr>
          <w:rFonts w:ascii="Times New Roman" w:cs="Times New Roman" w:eastAsia="Times New Roman" w:hAnsi="Times New Roman"/>
          <w:sz w:val="13"/>
          <w:szCs w:val="13"/>
          <w:color w:val="008000"/>
        </w:rPr>
      </w:pPr>
    </w:p>
    <w:p>
      <w:pPr>
        <w:ind w:left="40" w:right="220" w:firstLine="2"/>
        <w:spacing w:after="0" w:line="23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July 23, 2020, the Compensation Committee approved an award of restricted stock units to be granted to the Reporting Person, effective September 4, 2020 (the "RSU"). The number of shares of the Issuer's Class A Common Stock issuable under the RSU was determined by dividing $7,000,000 by the average closing price of the Issuer's Class A Common Stock over the sixty (60) day trading period ending seven days prior to the September 4, 2020 grant date and rounding up to the nearest whole share. The RSU vests as to 1/4th of the shares subject to the RSU on the one-year anniversary of the grant date, with1/12 of the remaining shares vesting in equal quarterly installments over the next three years subject to the Reporting Person's continuous service as of such vesting dates. The RSU is subject to accelerated vesting in the event of termination of employment by the Reporting Person under certain circumstances in connection with a change in control of the Issuer.</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Aparna Bawa</w:t>
            </w: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12/06/2022</w:t>
            </w: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5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2022-12-06T17:47:20Z</dcterms:created>
  <dcterms:modified xsi:type="dcterms:W3CDTF">2022-12-06T17:47:20Z</dcterms:modified>
</cp:coreProperties>
</file>