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17,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2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Li Ka Shing</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Hong Kong</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13,588,649</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13,588,649</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13,588,649</w:t>
            </w:r>
            <w:r>
              <w:rPr>
                <w:rFonts w:ascii="Arial" w:cs="Arial" w:eastAsia="Arial" w:hAnsi="Arial"/>
                <w:sz w:val="15"/>
                <w:szCs w:val="15"/>
                <w:color w:val="auto"/>
                <w:w w:val="99"/>
              </w:rPr>
              <w:t>(1)</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5.4950%</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 4,680,348 shares of Class A common stock of the Issuer owned directly by Bucantini Enterprises Limited (“</w:t>
      </w:r>
      <w:r>
        <w:rPr>
          <w:rFonts w:ascii="Arial" w:cs="Arial" w:eastAsia="Arial" w:hAnsi="Arial"/>
          <w:sz w:val="18"/>
          <w:szCs w:val="18"/>
          <w:b w:val="1"/>
          <w:bCs w:val="1"/>
          <w:color w:val="auto"/>
        </w:rPr>
        <w:t>Bucantini</w:t>
      </w:r>
      <w:r>
        <w:rPr>
          <w:rFonts w:ascii="Arial" w:cs="Arial" w:eastAsia="Arial" w:hAnsi="Arial"/>
          <w:sz w:val="18"/>
          <w:szCs w:val="18"/>
          <w:color w:val="auto"/>
        </w:rPr>
        <w:t>”), (ii) 350,000 shares of Class A common stock of the Issuer owned directly by Bonus Goal International Limited (“</w:t>
      </w:r>
      <w:r>
        <w:rPr>
          <w:rFonts w:ascii="Arial" w:cs="Arial" w:eastAsia="Arial" w:hAnsi="Arial"/>
          <w:sz w:val="18"/>
          <w:szCs w:val="18"/>
          <w:b w:val="1"/>
          <w:bCs w:val="1"/>
          <w:color w:val="auto"/>
        </w:rPr>
        <w:t>Bonus Goal</w:t>
      </w:r>
      <w:r>
        <w:rPr>
          <w:rFonts w:ascii="Arial" w:cs="Arial" w:eastAsia="Arial" w:hAnsi="Arial"/>
          <w:sz w:val="18"/>
          <w:szCs w:val="18"/>
          <w:color w:val="auto"/>
        </w:rPr>
        <w:t>”), (iii) 8,557,547 shares of Class A common stock of the Issuer owned directly by Star Arrow Limited (“</w:t>
      </w:r>
      <w:r>
        <w:rPr>
          <w:rFonts w:ascii="Arial" w:cs="Arial" w:eastAsia="Arial" w:hAnsi="Arial"/>
          <w:sz w:val="18"/>
          <w:szCs w:val="18"/>
          <w:b w:val="1"/>
          <w:bCs w:val="1"/>
          <w:color w:val="auto"/>
        </w:rPr>
        <w:t>Star Arrow</w:t>
      </w:r>
      <w:r>
        <w:rPr>
          <w:rFonts w:ascii="Arial" w:cs="Arial" w:eastAsia="Arial" w:hAnsi="Arial"/>
          <w:sz w:val="18"/>
          <w:szCs w:val="18"/>
          <w:color w:val="auto"/>
        </w:rPr>
        <w:t>”) and (iv) 754 shares of Class A common stock of the Issuer owned directly by Insight Advance Limited (“</w:t>
      </w:r>
      <w:r>
        <w:rPr>
          <w:rFonts w:ascii="Arial" w:cs="Arial" w:eastAsia="Arial" w:hAnsi="Arial"/>
          <w:sz w:val="18"/>
          <w:szCs w:val="18"/>
          <w:b w:val="1"/>
          <w:bCs w:val="1"/>
          <w:color w:val="auto"/>
        </w:rPr>
        <w:t>Insight Advance</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March 7, 2022).</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3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Mayspin Management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13,588,649</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13,588,649</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13,588,649</w:t>
            </w:r>
            <w:r>
              <w:rPr>
                <w:rFonts w:ascii="Arial" w:cs="Arial" w:eastAsia="Arial" w:hAnsi="Arial"/>
                <w:sz w:val="15"/>
                <w:szCs w:val="15"/>
                <w:color w:val="auto"/>
                <w:w w:val="99"/>
              </w:rPr>
              <w:t>(1)</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5.4950%</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8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 4,680,348 shares of Class A common stock of the Issuer owned directly by Bucantini, (ii) 350,000 shares of Class A common stock of the Issuer owned directly by Bonus Goal, (iii) 8,557,547 shares of Class A common stock of the Issuer owned directly by Star Arrow and (iv) 754 shares of Class A common stock of the Issuer owned directly by Insight Advance.</w:t>
      </w:r>
    </w:p>
    <w:p>
      <w:pPr>
        <w:spacing w:after="0" w:line="2"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4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Prime Doyen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13,237,895</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13,237,895</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13,237,895</w:t>
            </w:r>
            <w:r>
              <w:rPr>
                <w:rFonts w:ascii="Arial" w:cs="Arial" w:eastAsia="Arial" w:hAnsi="Arial"/>
                <w:sz w:val="15"/>
                <w:szCs w:val="15"/>
                <w:color w:val="auto"/>
                <w:w w:val="99"/>
              </w:rPr>
              <w:t>(1)</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5.3532%</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60"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4,680,348 shares of Class A common stock of the Issuer owned directly by Bucantini, and (ii) 8,557,547 shares of Class A common stock of the Issuer owned directly by Star Arrow.</w:t>
      </w:r>
    </w:p>
    <w:p>
      <w:pPr>
        <w:spacing w:after="0" w:line="1"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5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Bucantini Enterprises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4,680,348</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4,680,348</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4,680,348</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1.8927%</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4,680,348 shares of Class A common stock of the Issuer owned directly by Bucantini.</w:t>
      </w:r>
    </w:p>
    <w:p>
      <w:pPr>
        <w:spacing w:after="0" w:line="23"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6 of 14 Pages</w:t>
            </w:r>
          </w:p>
        </w:tc>
        <w:tc>
          <w:tcPr>
            <w:tcW w:w="0" w:type="dxa"/>
            <w:vAlign w:val="bottom"/>
          </w:tcPr>
          <w:p>
            <w:pPr>
              <w:spacing w:after="0"/>
              <w:rPr>
                <w:sz w:val="1"/>
                <w:szCs w:val="1"/>
                <w:color w:val="auto"/>
              </w:rPr>
            </w:pPr>
          </w:p>
        </w:tc>
      </w:tr>
      <w:tr>
        <w:trPr>
          <w:trHeight w:val="270"/>
        </w:trPr>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gridSpan w:val="2"/>
          </w:tcPr>
          <w:p>
            <w:pPr>
              <w:spacing w:after="0"/>
              <w:rPr>
                <w:sz w:val="23"/>
                <w:szCs w:val="23"/>
                <w:color w:val="auto"/>
              </w:rPr>
            </w:pPr>
          </w:p>
        </w:tc>
        <w:tc>
          <w:tcPr>
            <w:tcW w:w="68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Star Arrow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8,557,547</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8,557,547</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8,557,547</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3.4605%</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8,557,547 shares of Class A common stock of the Issuer owned directly by Star Arrow.</w:t>
      </w:r>
    </w:p>
    <w:p>
      <w:pPr>
        <w:spacing w:after="0" w:line="23"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7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Prime Tech Global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350,754</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6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350,754</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350,754</w:t>
            </w:r>
            <w:r>
              <w:rPr>
                <w:rFonts w:ascii="Arial" w:cs="Arial" w:eastAsia="Arial" w:hAnsi="Arial"/>
                <w:sz w:val="15"/>
                <w:szCs w:val="15"/>
                <w:color w:val="auto"/>
                <w:w w:val="91"/>
              </w:rPr>
              <w:t>(1)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0.1418%</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80" w:hanging="424"/>
        <w:spacing w:after="0" w:line="258"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350,000 shares of Class A common stock of the Issuer owned directly by Bonus Goal, and (ii) 754 shares of Class A common stock of the Issuer owned directly by Insight Advance.</w:t>
      </w:r>
    </w:p>
    <w:p>
      <w:pPr>
        <w:spacing w:after="0" w:line="1"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8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Bonus Goal International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6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350,000</w:t>
            </w:r>
            <w:r>
              <w:rPr>
                <w:rFonts w:ascii="Arial" w:cs="Arial" w:eastAsia="Arial" w:hAnsi="Arial"/>
                <w:sz w:val="15"/>
                <w:szCs w:val="15"/>
                <w:color w:val="auto"/>
                <w:w w:val="91"/>
              </w:rPr>
              <w:t>(1)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0.1415%</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w:t>
      </w:r>
    </w:p>
    <w:p>
      <w:pPr>
        <w:spacing w:after="0" w:line="23"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2"/>
              </w:rPr>
              <w:t>CUSIP No. 98980L101</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9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Insight Advance Limited</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754</w:t>
            </w:r>
            <w:r>
              <w:rPr>
                <w:rFonts w:ascii="Arial" w:cs="Arial" w:eastAsia="Arial" w:hAnsi="Arial"/>
                <w:sz w:val="15"/>
                <w:szCs w:val="15"/>
                <w:color w:val="auto"/>
              </w:rPr>
              <w:t>(1)</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754</w:t>
            </w:r>
            <w:r>
              <w:rPr>
                <w:rFonts w:ascii="Arial" w:cs="Arial" w:eastAsia="Arial" w:hAnsi="Arial"/>
                <w:sz w:val="15"/>
                <w:szCs w:val="15"/>
                <w:color w:val="auto"/>
              </w:rPr>
              <w:t>(1)</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754</w:t>
            </w:r>
            <w:r>
              <w:rPr>
                <w:rFonts w:ascii="Arial" w:cs="Arial" w:eastAsia="Arial" w:hAnsi="Arial"/>
                <w:sz w:val="15"/>
                <w:szCs w:val="15"/>
                <w:color w:val="auto"/>
              </w:rPr>
              <w:t>(1)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0.0003%</w:t>
            </w:r>
            <w:r>
              <w:rPr>
                <w:rFonts w:ascii="Arial" w:cs="Arial" w:eastAsia="Arial" w:hAnsi="Arial"/>
                <w:sz w:val="15"/>
                <w:szCs w:val="15"/>
                <w:color w:val="auto"/>
                <w:w w:val="91"/>
              </w:rPr>
              <w:t>(2)</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754 shares of Class A common stock of the Issuer owned directly by Insight Advance.</w:t>
      </w:r>
    </w:p>
    <w:p>
      <w:pPr>
        <w:spacing w:after="0" w:line="23"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ectPr>
          <w:pgSz w:w="11900" w:h="16838" w:orient="portrait"/>
          <w:cols w:equalWidth="0" w:num="1">
            <w:col w:w="11024"/>
          </w:cols>
          <w:pgMar w:left="436" w:top="274"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CUSIP No. 98980L101</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-201295</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 Pages</w:t>
      </w:r>
    </w:p>
    <w:p>
      <w:pPr>
        <w:spacing w:after="0" w:line="188" w:lineRule="exact"/>
        <w:rPr>
          <w:sz w:val="20"/>
          <w:szCs w:val="20"/>
          <w:color w:val="auto"/>
        </w:rPr>
      </w:pPr>
    </w:p>
    <w:p>
      <w:pPr>
        <w:sectPr>
          <w:pgSz w:w="11900" w:h="16838" w:orient="portrait"/>
          <w:cols w:equalWidth="0" w:num="3">
            <w:col w:w="4380" w:space="720"/>
            <w:col w:w="3740" w:space="720"/>
            <w:col w:w="1460"/>
          </w:cols>
          <w:pgMar w:left="440" w:top="274"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Issuer</w:t>
      </w:r>
    </w:p>
    <w:p>
      <w:pPr>
        <w:spacing w:after="0" w:line="155" w:lineRule="exact"/>
        <w:rPr>
          <w:sz w:val="20"/>
          <w:szCs w:val="20"/>
          <w:color w:val="auto"/>
        </w:rPr>
      </w:pPr>
    </w:p>
    <w:p>
      <w:pPr>
        <w:sectPr>
          <w:pgSz w:w="11900" w:h="16838" w:orient="portrait"/>
          <w:cols w:equalWidth="0" w:num="2">
            <w:col w:w="540" w:space="680"/>
            <w:col w:w="9800"/>
          </w:cols>
          <w:pgMar w:left="440" w:top="274" w:right="439" w:bottom="1440" w:gutter="0" w:footer="0" w:header="0"/>
          <w:type w:val="continuous"/>
        </w:sectPr>
      </w:pPr>
    </w:p>
    <w:p>
      <w:pPr>
        <w:ind w:left="1220" w:hanging="45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20" w:hanging="45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55 Almaden Boulevard, 6th Floor San Jose, California 95113</w:t>
      </w:r>
    </w:p>
    <w:p>
      <w:pPr>
        <w:spacing w:after="0" w:line="1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20" w:hanging="25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Name of Persons Filing; Address; Citizenship:</w:t>
      </w:r>
    </w:p>
    <w:p>
      <w:pPr>
        <w:spacing w:after="0" w:line="23" w:lineRule="exact"/>
        <w:rPr>
          <w:rFonts w:ascii="Arial" w:cs="Arial" w:eastAsia="Arial" w:hAnsi="Arial"/>
          <w:sz w:val="18"/>
          <w:szCs w:val="18"/>
          <w:color w:val="auto"/>
        </w:rPr>
      </w:pPr>
    </w:p>
    <w:p>
      <w:pPr>
        <w:spacing w:after="0"/>
        <w:tabs>
          <w:tab w:leader="none" w:pos="0" w:val="left"/>
        </w:tabs>
        <w:numPr>
          <w:ilvl w:val="0"/>
          <w:numId w:val="14"/>
        </w:numPr>
        <w:rPr>
          <w:rFonts w:ascii="Arial" w:cs="Arial" w:eastAsia="Arial" w:hAnsi="Arial"/>
          <w:sz w:val="18"/>
          <w:szCs w:val="18"/>
          <w:color w:val="auto"/>
        </w:rPr>
      </w:pPr>
    </w:p>
    <w:p>
      <w:pPr>
        <w:spacing w:after="0" w:line="102"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 Ka Shing, a Hong Kong citizen;</w:t>
      </w:r>
    </w:p>
    <w:p>
      <w:pPr>
        <w:spacing w:after="0" w:line="117"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Mayspin Management Limited, a British Virgin Islands company;</w:t>
      </w:r>
    </w:p>
    <w:p>
      <w:pPr>
        <w:spacing w:after="0" w:line="117"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Prime Doyen Limited, a British Virgin Islands company;</w:t>
      </w:r>
    </w:p>
    <w:p>
      <w:pPr>
        <w:spacing w:after="0" w:line="117"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Bucantini Enterprises Limited, a British Virgin Islands company;</w:t>
      </w:r>
    </w:p>
    <w:p>
      <w:pPr>
        <w:spacing w:after="0" w:line="117"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Star Arrow Limited, a British Virgin Islands company;</w:t>
      </w:r>
    </w:p>
    <w:p>
      <w:pPr>
        <w:spacing w:after="0" w:line="117" w:lineRule="exact"/>
        <w:rPr>
          <w:rFonts w:ascii="Arial" w:cs="Arial" w:eastAsia="Arial" w:hAnsi="Arial"/>
          <w:sz w:val="18"/>
          <w:szCs w:val="18"/>
          <w:color w:val="auto"/>
        </w:rPr>
      </w:pPr>
    </w:p>
    <w:p>
      <w:pPr>
        <w:ind w:left="1560" w:hanging="34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Prime Tech Global Limited, a British Virgin Islands company;</w:t>
      </w:r>
    </w:p>
    <w:p>
      <w:pPr>
        <w:spacing w:after="0" w:line="117" w:lineRule="exact"/>
        <w:rPr>
          <w:rFonts w:ascii="Arial" w:cs="Arial" w:eastAsia="Arial" w:hAnsi="Arial"/>
          <w:sz w:val="18"/>
          <w:szCs w:val="18"/>
          <w:color w:val="auto"/>
        </w:rPr>
      </w:pPr>
    </w:p>
    <w:p>
      <w:pPr>
        <w:ind w:left="1220" w:right="4220" w:hanging="9"/>
        <w:spacing w:after="0" w:line="397" w:lineRule="auto"/>
        <w:tabs>
          <w:tab w:leader="none" w:pos="1566" w:val="left"/>
        </w:tabs>
        <w:numPr>
          <w:ilvl w:val="1"/>
          <w:numId w:val="14"/>
        </w:numPr>
        <w:rPr>
          <w:rFonts w:ascii="Arial" w:cs="Arial" w:eastAsia="Arial" w:hAnsi="Arial"/>
          <w:sz w:val="17"/>
          <w:szCs w:val="17"/>
          <w:color w:val="auto"/>
        </w:rPr>
      </w:pPr>
      <w:r>
        <w:rPr>
          <w:rFonts w:ascii="Arial" w:cs="Arial" w:eastAsia="Arial" w:hAnsi="Arial"/>
          <w:sz w:val="17"/>
          <w:szCs w:val="17"/>
          <w:color w:val="auto"/>
        </w:rPr>
        <w:t>Bonus Goal International Limited, a British Virgin Islands company; and (viii)Insight Advance Limited, a British Virgin Islands company.</w:t>
      </w:r>
    </w:p>
    <w:p>
      <w:pPr>
        <w:spacing w:after="0" w:line="1" w:lineRule="exact"/>
        <w:rPr>
          <w:sz w:val="20"/>
          <w:szCs w:val="20"/>
          <w:color w:val="auto"/>
        </w:rPr>
      </w:pPr>
    </w:p>
    <w:p>
      <w:pPr>
        <w:ind w:left="1220" w:right="54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are Cheung Kong Center, 7th Floor, 2 Queen’s Road Central, Hong Kong.</w:t>
      </w:r>
    </w:p>
    <w:p>
      <w:pPr>
        <w:spacing w:after="0" w:line="62" w:lineRule="exact"/>
        <w:rPr>
          <w:sz w:val="20"/>
          <w:szCs w:val="20"/>
          <w:color w:val="auto"/>
        </w:rPr>
      </w:pPr>
    </w:p>
    <w:p>
      <w:pPr>
        <w:ind w:left="1220" w:hanging="45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220" w:right="8620" w:hanging="455"/>
        <w:spacing w:after="0" w:line="420" w:lineRule="auto"/>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580" w:right="260" w:hanging="815"/>
        <w:spacing w:after="0" w:line="239"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4" w:right="439" w:bottom="1440" w:gutter="0" w:footer="0" w:header="0"/>
          <w:type w:val="continuous"/>
        </w:sectPr>
      </w:pPr>
    </w:p>
    <w:bookmarkStart w:id="10" w:name="page11"/>
    <w:bookmarkEnd w:id="10"/>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14 Pages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20" w:hanging="241"/>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 (b)</w:t>
      </w:r>
      <w:r>
        <w:rPr>
          <w:rFonts w:ascii="Arial" w:cs="Arial" w:eastAsia="Arial" w:hAnsi="Arial"/>
          <w:sz w:val="16"/>
          <w:szCs w:val="16"/>
          <w:color w:val="auto"/>
        </w:rPr>
        <w:t>Amount beneficially owned:</w:t>
      </w:r>
    </w:p>
    <w:p>
      <w:pPr>
        <w:spacing w:after="0" w:line="117" w:lineRule="exact"/>
        <w:rPr>
          <w:rFonts w:ascii="Arial" w:cs="Arial" w:eastAsia="Arial" w:hAnsi="Arial"/>
          <w:sz w:val="18"/>
          <w:szCs w:val="18"/>
          <w:color w:val="auto"/>
        </w:rPr>
      </w:pPr>
    </w:p>
    <w:p>
      <w:pPr>
        <w:ind w:left="2420" w:right="180" w:hanging="534"/>
        <w:spacing w:after="0" w:line="277"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Bucantini directly owns 4,680,348 shares of Class A common stock, which represents approximately 1.8927% of the outstanding shares of Class A common stock of the Issuer.</w:t>
      </w:r>
    </w:p>
    <w:p>
      <w:pPr>
        <w:spacing w:after="0" w:line="62" w:lineRule="exact"/>
        <w:rPr>
          <w:rFonts w:ascii="Arial" w:cs="Arial" w:eastAsia="Arial" w:hAnsi="Arial"/>
          <w:sz w:val="18"/>
          <w:szCs w:val="18"/>
          <w:color w:val="auto"/>
        </w:rPr>
      </w:pPr>
    </w:p>
    <w:p>
      <w:pPr>
        <w:ind w:left="2420" w:right="80" w:hanging="534"/>
        <w:spacing w:after="0" w:line="277"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Star Arrow directly owns 8,557,547 shares of Class A common stock, which represents approximately 3.4605% of the outstanding shares of Class A common stock of the Issuer.</w:t>
      </w:r>
    </w:p>
    <w:p>
      <w:pPr>
        <w:spacing w:after="0" w:line="58" w:lineRule="exact"/>
        <w:rPr>
          <w:rFonts w:ascii="Arial" w:cs="Arial" w:eastAsia="Arial" w:hAnsi="Arial"/>
          <w:sz w:val="18"/>
          <w:szCs w:val="18"/>
          <w:color w:val="auto"/>
        </w:rPr>
      </w:pPr>
    </w:p>
    <w:p>
      <w:pPr>
        <w:ind w:left="2420" w:right="180" w:hanging="534"/>
        <w:spacing w:after="0" w:line="266"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Prime Doyen Limited (“</w:t>
      </w:r>
      <w:r>
        <w:rPr>
          <w:rFonts w:ascii="Arial" w:cs="Arial" w:eastAsia="Arial" w:hAnsi="Arial"/>
          <w:sz w:val="18"/>
          <w:szCs w:val="18"/>
          <w:b w:val="1"/>
          <w:bCs w:val="1"/>
          <w:color w:val="auto"/>
        </w:rPr>
        <w:t>Prime Doyen</w:t>
      </w:r>
      <w:r>
        <w:rPr>
          <w:rFonts w:ascii="Arial" w:cs="Arial" w:eastAsia="Arial" w:hAnsi="Arial"/>
          <w:sz w:val="18"/>
          <w:szCs w:val="18"/>
          <w:color w:val="auto"/>
        </w:rPr>
        <w:t>”) is the sole shareholder of Bucantini, and as such, Prime Doyen may also be deemed to beneficially own 4,680,348 shares of Class A common stock, which represents approximately 1.8927% of the outstanding shares of Class A common stock of the Issuer.</w:t>
      </w:r>
    </w:p>
    <w:p>
      <w:pPr>
        <w:spacing w:after="0" w:line="71" w:lineRule="exact"/>
        <w:rPr>
          <w:rFonts w:ascii="Arial" w:cs="Arial" w:eastAsia="Arial" w:hAnsi="Arial"/>
          <w:sz w:val="18"/>
          <w:szCs w:val="18"/>
          <w:color w:val="auto"/>
        </w:rPr>
      </w:pPr>
    </w:p>
    <w:p>
      <w:pPr>
        <w:jc w:val="both"/>
        <w:ind w:left="2420" w:right="20"/>
        <w:spacing w:after="0" w:line="263" w:lineRule="auto"/>
        <w:rPr>
          <w:rFonts w:ascii="Arial" w:cs="Arial" w:eastAsia="Arial" w:hAnsi="Arial"/>
          <w:sz w:val="18"/>
          <w:szCs w:val="18"/>
          <w:color w:val="auto"/>
        </w:rPr>
      </w:pPr>
      <w:r>
        <w:rPr>
          <w:rFonts w:ascii="Arial" w:cs="Arial" w:eastAsia="Arial" w:hAnsi="Arial"/>
          <w:sz w:val="18"/>
          <w:szCs w:val="18"/>
          <w:color w:val="auto"/>
        </w:rPr>
        <w:t>Prime Doyen is also the sole shareholder of Star Arrow, and as such, Prime Doyen may also be deemed to beneficially own 8,557,547 shares of Class A common stock, which represents approximately 3.4605% of the outstanding shares of Class A common stock of the Issuer.</w:t>
      </w:r>
    </w:p>
    <w:p>
      <w:pPr>
        <w:spacing w:after="0" w:line="75" w:lineRule="exact"/>
        <w:rPr>
          <w:rFonts w:ascii="Arial" w:cs="Arial" w:eastAsia="Arial" w:hAnsi="Arial"/>
          <w:sz w:val="18"/>
          <w:szCs w:val="18"/>
          <w:color w:val="auto"/>
        </w:rPr>
      </w:pPr>
    </w:p>
    <w:p>
      <w:pPr>
        <w:ind w:left="2420" w:right="300"/>
        <w:spacing w:after="0" w:line="277" w:lineRule="auto"/>
        <w:rPr>
          <w:rFonts w:ascii="Arial" w:cs="Arial" w:eastAsia="Arial" w:hAnsi="Arial"/>
          <w:sz w:val="18"/>
          <w:szCs w:val="18"/>
          <w:color w:val="auto"/>
        </w:rPr>
      </w:pPr>
      <w:r>
        <w:rPr>
          <w:rFonts w:ascii="Arial" w:cs="Arial" w:eastAsia="Arial" w:hAnsi="Arial"/>
          <w:sz w:val="18"/>
          <w:szCs w:val="18"/>
          <w:color w:val="auto"/>
        </w:rPr>
        <w:t>Collectively, Prime Doyen may be deemed to beneficially own 13,237,895 shares of Class A common stock, which represents 5.3532% of the outstanding shares of Class A common stock of the Issuer.</w:t>
      </w:r>
    </w:p>
    <w:p>
      <w:pPr>
        <w:spacing w:after="0" w:line="62" w:lineRule="exact"/>
        <w:rPr>
          <w:rFonts w:ascii="Arial" w:cs="Arial" w:eastAsia="Arial" w:hAnsi="Arial"/>
          <w:sz w:val="18"/>
          <w:szCs w:val="18"/>
          <w:color w:val="auto"/>
        </w:rPr>
      </w:pPr>
    </w:p>
    <w:p>
      <w:pPr>
        <w:ind w:left="2420" w:right="160" w:hanging="534"/>
        <w:spacing w:after="0" w:line="277"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Bonus Goal directly owns 350,000 shares of Class A common stock, which represents approximately 0.1415% of the outstanding shares of Class A common stock of the Issuer.</w:t>
      </w:r>
    </w:p>
    <w:p>
      <w:pPr>
        <w:spacing w:after="0" w:line="62" w:lineRule="exact"/>
        <w:rPr>
          <w:rFonts w:ascii="Arial" w:cs="Arial" w:eastAsia="Arial" w:hAnsi="Arial"/>
          <w:sz w:val="18"/>
          <w:szCs w:val="18"/>
          <w:color w:val="auto"/>
        </w:rPr>
      </w:pPr>
    </w:p>
    <w:p>
      <w:pPr>
        <w:ind w:left="2420" w:right="140" w:hanging="534"/>
        <w:spacing w:after="0" w:line="277"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Insight Advance directly owns 754 shares of Class A common stock, which represents approximately 0.0003% of the outstanding shares of Class A common stock of the Issuer.</w:t>
      </w:r>
    </w:p>
    <w:p>
      <w:pPr>
        <w:spacing w:after="0" w:line="58" w:lineRule="exact"/>
        <w:rPr>
          <w:rFonts w:ascii="Arial" w:cs="Arial" w:eastAsia="Arial" w:hAnsi="Arial"/>
          <w:sz w:val="18"/>
          <w:szCs w:val="18"/>
          <w:color w:val="auto"/>
        </w:rPr>
      </w:pPr>
    </w:p>
    <w:p>
      <w:pPr>
        <w:ind w:left="2420" w:right="100" w:hanging="534"/>
        <w:spacing w:after="0" w:line="266"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Prime Tech Global Limited (“</w:t>
      </w:r>
      <w:r>
        <w:rPr>
          <w:rFonts w:ascii="Arial" w:cs="Arial" w:eastAsia="Arial" w:hAnsi="Arial"/>
          <w:sz w:val="18"/>
          <w:szCs w:val="18"/>
          <w:b w:val="1"/>
          <w:bCs w:val="1"/>
          <w:color w:val="auto"/>
        </w:rPr>
        <w:t>Prime Tech</w:t>
      </w:r>
      <w:r>
        <w:rPr>
          <w:rFonts w:ascii="Arial" w:cs="Arial" w:eastAsia="Arial" w:hAnsi="Arial"/>
          <w:sz w:val="18"/>
          <w:szCs w:val="18"/>
          <w:color w:val="auto"/>
        </w:rPr>
        <w:t>”) is the sole shareholder of Bonus Goal, and as such, Prime Tech may also be deemed to beneficially own 350,000 shares of Class A common stock, which represents approximately 0.1415% of the outstanding shares of Class A common stock of the Issuer.</w:t>
      </w:r>
    </w:p>
    <w:p>
      <w:pPr>
        <w:spacing w:after="0" w:line="71" w:lineRule="exact"/>
        <w:rPr>
          <w:rFonts w:ascii="Arial" w:cs="Arial" w:eastAsia="Arial" w:hAnsi="Arial"/>
          <w:sz w:val="18"/>
          <w:szCs w:val="18"/>
          <w:color w:val="auto"/>
        </w:rPr>
      </w:pPr>
    </w:p>
    <w:p>
      <w:pPr>
        <w:ind w:left="2420" w:right="260"/>
        <w:spacing w:after="0" w:line="263" w:lineRule="auto"/>
        <w:rPr>
          <w:rFonts w:ascii="Arial" w:cs="Arial" w:eastAsia="Arial" w:hAnsi="Arial"/>
          <w:sz w:val="18"/>
          <w:szCs w:val="18"/>
          <w:color w:val="auto"/>
        </w:rPr>
      </w:pPr>
      <w:r>
        <w:rPr>
          <w:rFonts w:ascii="Arial" w:cs="Arial" w:eastAsia="Arial" w:hAnsi="Arial"/>
          <w:sz w:val="18"/>
          <w:szCs w:val="18"/>
          <w:color w:val="auto"/>
        </w:rPr>
        <w:t>Prime Tech is also the sole shareholder of Insight Advance, and as such, Prime Tech may also be deemed to beneficially own 754 shares of Class A common stock, which represents approximately 0.0003% of the outstanding shares of Class A common stock of the Issuer.</w:t>
      </w:r>
    </w:p>
    <w:p>
      <w:pPr>
        <w:spacing w:after="0" w:line="75" w:lineRule="exact"/>
        <w:rPr>
          <w:rFonts w:ascii="Arial" w:cs="Arial" w:eastAsia="Arial" w:hAnsi="Arial"/>
          <w:sz w:val="18"/>
          <w:szCs w:val="18"/>
          <w:color w:val="auto"/>
        </w:rPr>
      </w:pPr>
    </w:p>
    <w:p>
      <w:pPr>
        <w:ind w:left="2420" w:right="660"/>
        <w:spacing w:after="0" w:line="277" w:lineRule="auto"/>
        <w:rPr>
          <w:rFonts w:ascii="Arial" w:cs="Arial" w:eastAsia="Arial" w:hAnsi="Arial"/>
          <w:sz w:val="18"/>
          <w:szCs w:val="18"/>
          <w:color w:val="auto"/>
        </w:rPr>
      </w:pPr>
      <w:r>
        <w:rPr>
          <w:rFonts w:ascii="Arial" w:cs="Arial" w:eastAsia="Arial" w:hAnsi="Arial"/>
          <w:sz w:val="18"/>
          <w:szCs w:val="18"/>
          <w:color w:val="auto"/>
        </w:rPr>
        <w:t>Collectively, Prime Tech may be deemed to beneficially own 350,754 shares of Class A common stock, which represents 0.1418% of the outstanding shares of Class A common stock of the Issuer.</w:t>
      </w:r>
    </w:p>
    <w:p>
      <w:pPr>
        <w:spacing w:after="0" w:line="58" w:lineRule="exact"/>
        <w:rPr>
          <w:rFonts w:ascii="Arial" w:cs="Arial" w:eastAsia="Arial" w:hAnsi="Arial"/>
          <w:sz w:val="18"/>
          <w:szCs w:val="18"/>
          <w:color w:val="auto"/>
        </w:rPr>
      </w:pPr>
    </w:p>
    <w:p>
      <w:pPr>
        <w:ind w:left="2420" w:right="20" w:hanging="534"/>
        <w:spacing w:after="0" w:line="261"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Mayspin Management Limited (“</w:t>
      </w:r>
      <w:r>
        <w:rPr>
          <w:rFonts w:ascii="Arial" w:cs="Arial" w:eastAsia="Arial" w:hAnsi="Arial"/>
          <w:sz w:val="18"/>
          <w:szCs w:val="18"/>
          <w:b w:val="1"/>
          <w:bCs w:val="1"/>
          <w:color w:val="auto"/>
        </w:rPr>
        <w:t>Mayspin</w:t>
      </w:r>
      <w:r>
        <w:rPr>
          <w:rFonts w:ascii="Arial" w:cs="Arial" w:eastAsia="Arial" w:hAnsi="Arial"/>
          <w:sz w:val="18"/>
          <w:szCs w:val="18"/>
          <w:color w:val="auto"/>
        </w:rPr>
        <w:t>”) is the sole shareholder of Prime Doyen, which is the sole shareholder of Bucantini and Star Arrow, and as such, Mayspin may also be deemed to beneficially own 13,237,895 shares of Class A common stock, which represents approximately 5.3532% of the outstanding shares of Class A common stock of the Issuer.</w:t>
      </w:r>
    </w:p>
    <w:p>
      <w:pPr>
        <w:spacing w:after="0" w:line="75" w:lineRule="exact"/>
        <w:rPr>
          <w:rFonts w:ascii="Arial" w:cs="Arial" w:eastAsia="Arial" w:hAnsi="Arial"/>
          <w:sz w:val="18"/>
          <w:szCs w:val="18"/>
          <w:color w:val="auto"/>
        </w:rPr>
      </w:pPr>
    </w:p>
    <w:p>
      <w:pPr>
        <w:ind w:left="2420" w:right="60"/>
        <w:spacing w:after="0" w:line="311" w:lineRule="auto"/>
        <w:rPr>
          <w:rFonts w:ascii="Arial" w:cs="Arial" w:eastAsia="Arial" w:hAnsi="Arial"/>
          <w:sz w:val="18"/>
          <w:szCs w:val="18"/>
          <w:color w:val="auto"/>
        </w:rPr>
      </w:pPr>
      <w:r>
        <w:rPr>
          <w:rFonts w:ascii="Arial" w:cs="Arial" w:eastAsia="Arial" w:hAnsi="Arial"/>
          <w:sz w:val="16"/>
          <w:szCs w:val="16"/>
          <w:color w:val="auto"/>
        </w:rPr>
        <w:t>Mayspin is also the sole shareholder of Prime Tech, which is the sole shareholder of Bonus Goal and Insight Advance, and as such, Mayspin may also be deemed to beneficially own 350,754 shares of the Class A common stock, which represents approximately 0.1418% of the outstanding shares of Class A common stock of the Issuer.</w:t>
      </w:r>
    </w:p>
    <w:p>
      <w:pPr>
        <w:spacing w:after="0" w:line="40" w:lineRule="exact"/>
        <w:rPr>
          <w:rFonts w:ascii="Arial" w:cs="Arial" w:eastAsia="Arial" w:hAnsi="Arial"/>
          <w:sz w:val="18"/>
          <w:szCs w:val="18"/>
          <w:color w:val="auto"/>
        </w:rPr>
      </w:pPr>
    </w:p>
    <w:p>
      <w:pPr>
        <w:ind w:left="2420" w:right="620"/>
        <w:spacing w:after="0" w:line="277" w:lineRule="auto"/>
        <w:rPr>
          <w:rFonts w:ascii="Arial" w:cs="Arial" w:eastAsia="Arial" w:hAnsi="Arial"/>
          <w:sz w:val="18"/>
          <w:szCs w:val="18"/>
          <w:color w:val="auto"/>
        </w:rPr>
      </w:pPr>
      <w:r>
        <w:rPr>
          <w:rFonts w:ascii="Arial" w:cs="Arial" w:eastAsia="Arial" w:hAnsi="Arial"/>
          <w:sz w:val="18"/>
          <w:szCs w:val="18"/>
          <w:color w:val="auto"/>
        </w:rPr>
        <w:t>Collectively, Mayspin may be deemed to beneficially own 13,588,649 shares of Class A common stock, which represents 5.4950% of the outstanding shares of Class A common stock of the Issuer.</w:t>
      </w:r>
    </w:p>
    <w:p>
      <w:pPr>
        <w:spacing w:after="0" w:line="58" w:lineRule="exact"/>
        <w:rPr>
          <w:rFonts w:ascii="Arial" w:cs="Arial" w:eastAsia="Arial" w:hAnsi="Arial"/>
          <w:sz w:val="18"/>
          <w:szCs w:val="18"/>
          <w:color w:val="auto"/>
        </w:rPr>
      </w:pPr>
    </w:p>
    <w:p>
      <w:pPr>
        <w:ind w:left="2420" w:right="40" w:hanging="534"/>
        <w:spacing w:after="0" w:line="261" w:lineRule="auto"/>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Li Ka Shing (“</w:t>
      </w:r>
      <w:r>
        <w:rPr>
          <w:rFonts w:ascii="Arial" w:cs="Arial" w:eastAsia="Arial" w:hAnsi="Arial"/>
          <w:sz w:val="18"/>
          <w:szCs w:val="18"/>
          <w:b w:val="1"/>
          <w:bCs w:val="1"/>
          <w:color w:val="auto"/>
        </w:rPr>
        <w:t>Mr. Li</w:t>
      </w:r>
      <w:r>
        <w:rPr>
          <w:rFonts w:ascii="Arial" w:cs="Arial" w:eastAsia="Arial" w:hAnsi="Arial"/>
          <w:sz w:val="18"/>
          <w:szCs w:val="18"/>
          <w:color w:val="auto"/>
        </w:rPr>
        <w:t>”) is the sole shareholder of Mayspin, which is the sole shareholder of Prime Doyen, which is the sole shareholder of Bucantini and Star Arrow, and as such, Mr. Li may also be deemed to beneficially own 13,237,895 shares of Class A common stock, which represents approximately 5.3532% of the outstanding shares of Class A common stock.</w:t>
      </w:r>
    </w:p>
    <w:p>
      <w:pPr>
        <w:spacing w:after="0" w:line="75" w:lineRule="exact"/>
        <w:rPr>
          <w:rFonts w:ascii="Arial" w:cs="Arial" w:eastAsia="Arial" w:hAnsi="Arial"/>
          <w:sz w:val="18"/>
          <w:szCs w:val="18"/>
          <w:color w:val="auto"/>
        </w:rPr>
      </w:pPr>
    </w:p>
    <w:p>
      <w:pPr>
        <w:ind w:left="2420" w:right="120"/>
        <w:spacing w:after="0" w:line="259" w:lineRule="auto"/>
        <w:rPr>
          <w:rFonts w:ascii="Arial" w:cs="Arial" w:eastAsia="Arial" w:hAnsi="Arial"/>
          <w:sz w:val="18"/>
          <w:szCs w:val="18"/>
          <w:color w:val="auto"/>
        </w:rPr>
      </w:pPr>
      <w:r>
        <w:rPr>
          <w:rFonts w:ascii="Arial" w:cs="Arial" w:eastAsia="Arial" w:hAnsi="Arial"/>
          <w:sz w:val="18"/>
          <w:szCs w:val="18"/>
          <w:color w:val="auto"/>
        </w:rPr>
        <w:t>Since Mayspin is also the sole shareholder of Prime Tech, which is the sole shareholder of Bonus Goal and Insight Advance, Mr. Li, as the sole shareholder of Mayspin, may also be deemed to beneficially own 350,754 shares of the Class A common stock, which represents approximately 0.1418% of the outstanding shares of Class A common stock of the Issuer.</w:t>
      </w:r>
    </w:p>
    <w:p>
      <w:pPr>
        <w:sectPr>
          <w:pgSz w:w="11900" w:h="16838" w:orient="portrait"/>
          <w:cols w:equalWidth="0" w:num="1">
            <w:col w:w="11020"/>
          </w:cols>
          <w:pgMar w:left="440" w:top="274" w:right="439" w:bottom="1440" w:gutter="0" w:footer="0" w:header="0"/>
        </w:sectPr>
      </w:pPr>
    </w:p>
    <w:bookmarkStart w:id="11" w:name="page12"/>
    <w:bookmarkEnd w:id="11"/>
    <w:p>
      <w:pPr>
        <w:ind w:left="4"/>
        <w:spacing w:after="0"/>
        <w:tabs>
          <w:tab w:leader="none" w:pos="5084" w:val="left"/>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14 Pages</w:t>
      </w:r>
    </w:p>
    <w:p>
      <w:pPr>
        <w:spacing w:after="0" w:line="158" w:lineRule="exact"/>
        <w:rPr>
          <w:sz w:val="20"/>
          <w:szCs w:val="20"/>
          <w:color w:val="auto"/>
        </w:rPr>
      </w:pPr>
    </w:p>
    <w:p>
      <w:pPr>
        <w:ind w:left="1424" w:right="140"/>
        <w:spacing w:after="0" w:line="277" w:lineRule="auto"/>
        <w:rPr>
          <w:sz w:val="20"/>
          <w:szCs w:val="20"/>
          <w:color w:val="auto"/>
        </w:rPr>
      </w:pPr>
      <w:r>
        <w:rPr>
          <w:rFonts w:ascii="Arial" w:cs="Arial" w:eastAsia="Arial" w:hAnsi="Arial"/>
          <w:sz w:val="18"/>
          <w:szCs w:val="18"/>
          <w:color w:val="auto"/>
        </w:rPr>
        <w:t>Collectively, Mr. Li may be deemed to beneficially own 13,588,649 shares of Class A common stock, which represents 5.4950% of the outstanding shares of Class A common stock of the Issuer.</w:t>
      </w:r>
    </w:p>
    <w:p>
      <w:pPr>
        <w:spacing w:after="0" w:line="62" w:lineRule="exact"/>
        <w:rPr>
          <w:sz w:val="20"/>
          <w:szCs w:val="20"/>
          <w:color w:val="auto"/>
        </w:rPr>
      </w:pPr>
    </w:p>
    <w:p>
      <w:pPr>
        <w:ind w:left="1424" w:right="520"/>
        <w:spacing w:after="0" w:line="277" w:lineRule="auto"/>
        <w:rPr>
          <w:sz w:val="20"/>
          <w:szCs w:val="20"/>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pacing w:after="0" w:line="76"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0" w:lineRule="exact"/>
        <w:rPr>
          <w:sz w:val="20"/>
          <w:szCs w:val="20"/>
          <w:color w:val="auto"/>
        </w:rPr>
      </w:pPr>
    </w:p>
    <w:p>
      <w:pPr>
        <w:spacing w:after="0" w:line="291" w:lineRule="exact"/>
        <w:rPr>
          <w:sz w:val="20"/>
          <w:szCs w:val="20"/>
          <w:color w:val="auto"/>
        </w:rPr>
      </w:pPr>
    </w:p>
    <w:p>
      <w:pPr>
        <w:ind w:left="7084"/>
        <w:spacing w:after="0"/>
        <w:rPr>
          <w:sz w:val="20"/>
          <w:szCs w:val="20"/>
          <w:color w:val="auto"/>
        </w:rPr>
      </w:pPr>
      <w:r>
        <w:rPr>
          <w:rFonts w:ascii="Arial" w:cs="Arial" w:eastAsia="Arial" w:hAnsi="Arial"/>
          <w:sz w:val="18"/>
          <w:szCs w:val="18"/>
          <w:b w:val="1"/>
          <w:bCs w:val="1"/>
          <w:color w:val="auto"/>
        </w:rPr>
        <w:t>Number of Shares of Class A Common Stock</w:t>
      </w:r>
    </w:p>
    <w:p>
      <w:pPr>
        <w:spacing w:after="0" w:line="1" w:lineRule="exact"/>
        <w:rPr>
          <w:sz w:val="20"/>
          <w:szCs w:val="20"/>
          <w:color w:val="auto"/>
        </w:rPr>
      </w:pPr>
    </w:p>
    <w:tbl>
      <w:tblPr>
        <w:tblLayout w:type="fixed"/>
        <w:tblInd w:w="444" w:type="dxa"/>
        <w:tblCellMar>
          <w:top w:w="0" w:type="dxa"/>
          <w:left w:w="0" w:type="dxa"/>
          <w:bottom w:w="0" w:type="dxa"/>
          <w:right w:w="0" w:type="dxa"/>
        </w:tblCellMar>
      </w:tblPr>
      <w:tr>
        <w:trPr>
          <w:trHeight w:val="175"/>
        </w:trPr>
        <w:tc>
          <w:tcPr>
            <w:tcW w:w="1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Reporting Person</w:t>
            </w:r>
          </w:p>
        </w:tc>
        <w:tc>
          <w:tcPr>
            <w:tcW w:w="5300" w:type="dxa"/>
            <w:vAlign w:val="bottom"/>
          </w:tcPr>
          <w:p>
            <w:pPr>
              <w:spacing w:after="0"/>
              <w:rPr>
                <w:sz w:val="15"/>
                <w:szCs w:val="15"/>
                <w:color w:val="auto"/>
              </w:rPr>
            </w:pPr>
          </w:p>
        </w:tc>
        <w:tc>
          <w:tcPr>
            <w:tcW w:w="60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(i)</w:t>
            </w:r>
          </w:p>
        </w:tc>
        <w:tc>
          <w:tcPr>
            <w:tcW w:w="134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(ii)</w:t>
            </w:r>
          </w:p>
        </w:tc>
        <w:tc>
          <w:tcPr>
            <w:tcW w:w="6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(iii)</w:t>
            </w:r>
          </w:p>
        </w:tc>
        <w:tc>
          <w:tcPr>
            <w:tcW w:w="112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(iv)</w:t>
            </w:r>
          </w:p>
        </w:tc>
        <w:tc>
          <w:tcPr>
            <w:tcW w:w="40" w:type="dxa"/>
            <w:vAlign w:val="bottom"/>
          </w:tcPr>
          <w:p>
            <w:pPr>
              <w:spacing w:after="0"/>
              <w:rPr>
                <w:sz w:val="15"/>
                <w:szCs w:val="15"/>
                <w:color w:val="auto"/>
              </w:rPr>
            </w:pPr>
          </w:p>
        </w:tc>
      </w:tr>
      <w:tr>
        <w:trPr>
          <w:trHeight w:val="203"/>
        </w:trPr>
        <w:tc>
          <w:tcPr>
            <w:tcW w:w="6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 Ka Shing</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13,588,649</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13,588,649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Mayspin Management Limited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13,588,649</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13,588,649</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Doyen Limited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13,237,895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13,237,895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Bucantini Enterprises Limited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4,680,348</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4,680,348</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 Arrow Limited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8,557,547</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8,557,547</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Prime Tech Global Limited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350,754</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350,754</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Goal International Limited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Insight Advance Limited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r>
    </w:tbl>
    <w:p>
      <w:pPr>
        <w:spacing w:after="0" w:line="93" w:lineRule="exact"/>
        <w:rPr>
          <w:sz w:val="20"/>
          <w:szCs w:val="20"/>
          <w:color w:val="auto"/>
        </w:rPr>
      </w:pPr>
    </w:p>
    <w:p>
      <w:pPr>
        <w:ind w:left="1424" w:hanging="439"/>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984" w:right="200"/>
        <w:spacing w:after="0" w:line="277" w:lineRule="auto"/>
        <w:rPr>
          <w:sz w:val="20"/>
          <w:szCs w:val="20"/>
          <w:color w:val="auto"/>
        </w:rPr>
      </w:pPr>
      <w:r>
        <w:rPr>
          <w:rFonts w:ascii="Arial" w:cs="Arial" w:eastAsia="Arial" w:hAnsi="Arial"/>
          <w:sz w:val="18"/>
          <w:szCs w:val="18"/>
          <w:color w:val="auto"/>
        </w:rPr>
        <w:t>The percent of class was calculated based on 247,289,260 shares of Class A common stock (as reported in the Issuer’s Annual Report on Form 10-K as filed by the Issuer with the SEC on March 7, 2022).</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4"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right="60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1104" w:right="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4"/>
          </w:cols>
          <w:pgMar w:left="436" w:top="274" w:right="439" w:bottom="1440" w:gutter="0" w:footer="0" w:header="0"/>
        </w:sectPr>
      </w:pPr>
    </w:p>
    <w:bookmarkStart w:id="12" w:name="page13"/>
    <w:bookmarkEnd w:id="12"/>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14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22,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14 Pages</w:t>
      </w:r>
    </w:p>
    <w:p>
      <w:pPr>
        <w:sectPr>
          <w:pgSz w:w="11900" w:h="16838" w:orient="portrait"/>
          <w:cols w:equalWidth="0" w:num="1">
            <w:col w:w="11020"/>
          </w:cols>
          <w:pgMar w:left="440" w:top="274" w:right="439" w:bottom="1440" w:gutter="0" w:footer="0" w:header="0"/>
        </w:sectPr>
      </w:pPr>
    </w:p>
    <w:p>
      <w:pPr>
        <w:spacing w:after="0" w:line="15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98980L101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22,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BONUS GOAL INTERNATIONAL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9220"/>
      </w:cols>
      <w:pgMar w:left="1440" w:top="27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lvl w:ilvl="1">
      <w:lvlJc w:val="left"/>
      <w:lvlText w:val="%2"/>
      <w:numFmt w:val="lowerRoman"/>
      <w:start w:val="1"/>
    </w:lvl>
  </w:abstractNum>
  <w:abstractNum w:abstractNumId="13">
    <w:nsid w:val="4E6AFB66"/>
    <w:multiLevelType w:val="hybridMultilevel"/>
    <w:lvl w:ilvl="0">
      <w:lvlJc w:val="left"/>
      <w:lvlText w:val="(%1)"/>
      <w:numFmt w:val="lowerLetter"/>
      <w:start w:val="3"/>
    </w:lvl>
    <w:lvl w:ilvl="1">
      <w:lvlJc w:val="left"/>
      <w:lvlText w:val="(%2)"/>
      <w:numFmt w:val="lowerRoman"/>
      <w:start w:val="1"/>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2022-03-22T05:52:17Z</dcterms:created>
  <dcterms:modified xsi:type="dcterms:W3CDTF">2022-03-22T05:52:17Z</dcterms:modified>
</cp:coreProperties>
</file>