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Crehan Shane</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0"/>
        <w:spacing w:after="0" w:line="40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SAN JOSE</w:t>
            </w:r>
          </w:p>
        </w:tc>
        <w:tc>
          <w:tcPr>
            <w:tcW w:w="1020" w:type="dxa"/>
            <w:vAlign w:val="bottom"/>
          </w:tcPr>
          <w:p>
            <w:pPr>
              <w:ind w:left="2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Zoom Video Communications,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ZM</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3"/>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2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00"/>
              <w:spacing w:after="0" w:line="145" w:lineRule="exact"/>
              <w:rPr>
                <w:sz w:val="20"/>
                <w:szCs w:val="20"/>
                <w:color w:val="auto"/>
              </w:rPr>
            </w:pPr>
            <w:r>
              <w:rPr>
                <w:rFonts w:ascii="Arial" w:cs="Arial" w:eastAsia="Arial" w:hAnsi="Arial"/>
                <w:sz w:val="14"/>
                <w:szCs w:val="14"/>
                <w:color w:val="auto"/>
              </w:rPr>
              <w:t>Director</w:t>
            </w:r>
          </w:p>
        </w:tc>
        <w:tc>
          <w:tcPr>
            <w:tcW w:w="1420" w:type="dxa"/>
            <w:vAlign w:val="bottom"/>
          </w:tcPr>
          <w:p>
            <w:pPr>
              <w:ind w:left="28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06/13/2023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06/12/2023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337</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58.803</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414"/>
              <w:spacing w:after="0"/>
              <w:rPr>
                <w:sz w:val="20"/>
                <w:szCs w:val="20"/>
                <w:color w:val="auto"/>
              </w:rPr>
            </w:pPr>
            <w:r>
              <w:rPr>
                <w:rFonts w:ascii="Arial" w:cs="Arial" w:eastAsia="Arial" w:hAnsi="Arial"/>
                <w:sz w:val="18"/>
                <w:szCs w:val="18"/>
                <w:color w:val="0000FF"/>
                <w:w w:val="93"/>
              </w:rPr>
              <w:t>337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06/13/2023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337</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69.45</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514"/>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30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acquired pursuant to the Zoom Video Communications, Inc. 2019 Employee Stock Purchase Plan ("ESPP"), for the purchase period of December 13, 2022 to June 12, 2023. In accordance with the ESPP, these shares were purchased at a price equal to 85% of the closing price of Issuer's Class A Common Stock on June 12, 2023.</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Aparna Bawa, Attorney-in- </w:t>
      </w:r>
      <w:r>
        <w:rPr>
          <w:rFonts w:ascii="Arial" w:cs="Arial" w:eastAsia="Arial" w:hAnsi="Arial"/>
          <w:sz w:val="35"/>
          <w:szCs w:val="35"/>
          <w:color w:val="0000FF"/>
          <w:vertAlign w:val="subscript"/>
        </w:rPr>
        <w:t>06/15/2023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92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24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2023-06-15T17:05:04Z</dcterms:created>
  <dcterms:modified xsi:type="dcterms:W3CDTF">2023-06-15T17:05:04Z</dcterms:modified>
</cp:coreProperties>
</file>