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909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9099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40"/>
          </w:cols>
          <w:pgMar w:left="460" w:top="222" w:right="359" w:bottom="1099"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Bawa Aparna</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4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840" w:type="dxa"/>
            <w:vAlign w:val="bottom"/>
            <w:gridSpan w:val="4"/>
          </w:tcPr>
          <w:p>
            <w:pPr>
              <w:ind w:left="60"/>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820" w:type="dxa"/>
            <w:vAlign w:val="bottom"/>
            <w:tcBorders>
              <w:bottom w:val="single" w:sz="8" w:color="2C2C2C"/>
            </w:tcBorders>
          </w:tcPr>
          <w:p>
            <w:pPr>
              <w:spacing w:after="0"/>
              <w:rPr>
                <w:sz w:val="16"/>
                <w:szCs w:val="16"/>
                <w:color w:val="auto"/>
              </w:rPr>
            </w:pPr>
          </w:p>
        </w:tc>
        <w:tc>
          <w:tcPr>
            <w:tcW w:w="820" w:type="dxa"/>
            <w:vAlign w:val="bottom"/>
            <w:tcBorders>
              <w:bottom w:val="single" w:sz="8" w:color="2C2C2C"/>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Operating Officer</w:t>
            </w:r>
          </w:p>
        </w:tc>
        <w:tc>
          <w:tcPr>
            <w:tcW w:w="0" w:type="dxa"/>
            <w:vAlign w:val="bottom"/>
          </w:tcPr>
          <w:p>
            <w:pPr>
              <w:spacing w:after="0"/>
              <w:rPr>
                <w:sz w:val="1"/>
                <w:szCs w:val="1"/>
                <w:color w:val="auto"/>
              </w:rPr>
            </w:pPr>
          </w:p>
        </w:tc>
      </w:tr>
      <w:tr>
        <w:trPr>
          <w:trHeight w:val="215"/>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06/08/2021</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60" w:space="80"/>
            <w:col w:w="7240"/>
          </w:cols>
          <w:pgMar w:left="460" w:top="222" w:right="359" w:bottom="109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gridSpan w:val="2"/>
          </w:tcPr>
          <w:p>
            <w:pPr>
              <w:ind w:left="740"/>
              <w:spacing w:after="0"/>
              <w:rPr>
                <w:sz w:val="20"/>
                <w:szCs w:val="20"/>
                <w:color w:val="auto"/>
              </w:rPr>
            </w:pPr>
            <w:r>
              <w:rPr>
                <w:rFonts w:ascii="Arial" w:cs="Arial" w:eastAsia="Arial" w:hAnsi="Arial"/>
                <w:sz w:val="17"/>
                <w:szCs w:val="17"/>
                <w:color w:val="0000FF"/>
              </w:rPr>
              <w:t>06/08/2021</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center"/>
              <w:ind w:right="159"/>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0000FF"/>
              </w:rPr>
              <w:t>225</w:t>
            </w:r>
          </w:p>
        </w:tc>
        <w:tc>
          <w:tcPr>
            <w:tcW w:w="660" w:type="dxa"/>
            <w:vAlign w:val="bottom"/>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1"/>
              </w:rPr>
              <w:t>225</w:t>
            </w:r>
          </w:p>
        </w:tc>
        <w:tc>
          <w:tcPr>
            <w:tcW w:w="28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7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06/08/2021</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w w:val="74"/>
              </w:rPr>
              <w:t>F</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FF"/>
                <w:vertAlign w:val="subscript"/>
              </w:rPr>
              <w:t>81</w:t>
            </w:r>
            <w:r>
              <w:rPr>
                <w:rFonts w:ascii="Arial" w:cs="Arial" w:eastAsia="Arial" w:hAnsi="Arial"/>
                <w:sz w:val="11"/>
                <w:szCs w:val="11"/>
                <w:color w:val="008000"/>
              </w:rPr>
              <w:t>(1)</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144</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6"/>
              </w:rPr>
              <w:t>155,737</w:t>
            </w:r>
            <w:r>
              <w:rPr>
                <w:rFonts w:ascii="Arial" w:cs="Arial" w:eastAsia="Arial" w:hAnsi="Arial"/>
                <w:sz w:val="21"/>
                <w:szCs w:val="21"/>
                <w:color w:val="008000"/>
                <w:w w:val="86"/>
                <w:vertAlign w:val="superscript"/>
              </w:rPr>
              <w:t>(2)</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4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(5)</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91"/>
              <w:spacing w:after="0"/>
              <w:rPr>
                <w:sz w:val="20"/>
                <w:szCs w:val="20"/>
                <w:color w:val="auto"/>
              </w:rPr>
            </w:pPr>
            <w:r>
              <w:rPr>
                <w:rFonts w:ascii="Arial" w:cs="Arial" w:eastAsia="Arial" w:hAnsi="Arial"/>
                <w:sz w:val="17"/>
                <w:szCs w:val="17"/>
                <w:color w:val="0000FF"/>
              </w:rPr>
              <w:t>225</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ind w:left="260"/>
              <w:spacing w:after="0" w:line="143" w:lineRule="exact"/>
              <w:rPr>
                <w:sz w:val="20"/>
                <w:szCs w:val="20"/>
                <w:color w:val="auto"/>
              </w:rPr>
            </w:pPr>
            <w:r>
              <w:rPr>
                <w:rFonts w:ascii="Arial" w:cs="Arial" w:eastAsia="Arial" w:hAnsi="Arial"/>
                <w:sz w:val="13"/>
                <w:szCs w:val="13"/>
                <w:color w:val="0000FF"/>
              </w:rPr>
              <w:t>06/08/2021</w:t>
            </w:r>
          </w:p>
        </w:tc>
        <w:tc>
          <w:tcPr>
            <w:tcW w:w="108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740" w:type="dxa"/>
            <w:vAlign w:val="bottom"/>
          </w:tcPr>
          <w:p>
            <w:pPr>
              <w:ind w:left="440"/>
              <w:spacing w:after="0" w:line="143" w:lineRule="exact"/>
              <w:rPr>
                <w:sz w:val="20"/>
                <w:szCs w:val="20"/>
                <w:color w:val="auto"/>
              </w:rPr>
            </w:pPr>
            <w:r>
              <w:rPr>
                <w:rFonts w:ascii="Arial" w:cs="Arial" w:eastAsia="Arial" w:hAnsi="Arial"/>
                <w:sz w:val="13"/>
                <w:szCs w:val="13"/>
                <w:color w:val="0000FF"/>
              </w:rPr>
              <w:t>225</w:t>
            </w: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760" w:type="dxa"/>
            <w:vAlign w:val="bottom"/>
            <w:gridSpan w:val="2"/>
          </w:tcPr>
          <w:p>
            <w:pPr>
              <w:ind w:left="28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80" w:type="dxa"/>
            <w:vAlign w:val="bottom"/>
          </w:tcPr>
          <w:p>
            <w:pPr>
              <w:jc w:val="right"/>
              <w:spacing w:after="0" w:line="143" w:lineRule="exact"/>
              <w:rPr>
                <w:sz w:val="20"/>
                <w:szCs w:val="20"/>
                <w:color w:val="auto"/>
              </w:rPr>
            </w:pPr>
            <w:r>
              <w:rPr>
                <w:rFonts w:ascii="Arial" w:cs="Arial" w:eastAsia="Arial" w:hAnsi="Arial"/>
                <w:sz w:val="13"/>
                <w:szCs w:val="13"/>
                <w:color w:val="0000FF"/>
              </w:rPr>
              <w:t>225</w:t>
            </w:r>
          </w:p>
        </w:tc>
        <w:tc>
          <w:tcPr>
            <w:tcW w:w="280" w:type="dxa"/>
            <w:vAlign w:val="bottom"/>
          </w:tcPr>
          <w:p>
            <w:pPr>
              <w:spacing w:after="0"/>
              <w:rPr>
                <w:sz w:val="12"/>
                <w:szCs w:val="12"/>
                <w:color w:val="auto"/>
              </w:rPr>
            </w:pPr>
          </w:p>
        </w:tc>
        <w:tc>
          <w:tcPr>
            <w:tcW w:w="62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16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(6)</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27,367</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66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right"/>
              <w:ind w:right="201"/>
              <w:spacing w:after="0" w:line="143" w:lineRule="exact"/>
              <w:rPr>
                <w:sz w:val="20"/>
                <w:szCs w:val="20"/>
                <w:color w:val="auto"/>
              </w:rPr>
            </w:pPr>
            <w:r>
              <w:rPr>
                <w:rFonts w:ascii="Arial" w:cs="Arial" w:eastAsia="Arial" w:hAnsi="Arial"/>
                <w:sz w:val="13"/>
                <w:szCs w:val="13"/>
                <w:color w:val="0000FF"/>
              </w:rPr>
              <w:t>27,367</w:t>
            </w:r>
          </w:p>
        </w:tc>
        <w:tc>
          <w:tcPr>
            <w:tcW w:w="62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-2466340</wp:posOffset>
            </wp:positionV>
            <wp:extent cx="29210" cy="2471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714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were issued pursuant to an option that was early exercised by the Reporting Person, and 112,500 shares are subject to the Issuer's right to repurchase as of the date hereof.</w:t>
      </w:r>
    </w:p>
    <w:p>
      <w:pPr>
        <w:spacing w:after="0" w:line="45" w:lineRule="exact"/>
        <w:rPr>
          <w:rFonts w:ascii="Arial" w:cs="Arial" w:eastAsia="Arial" w:hAnsi="Arial"/>
          <w:sz w:val="13"/>
          <w:szCs w:val="13"/>
          <w:color w:val="008000"/>
        </w:rPr>
      </w:pPr>
    </w:p>
    <w:p>
      <w:pPr>
        <w:ind w:left="40" w:right="20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40" w:right="16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3" w:lineRule="exact"/>
        <w:rPr>
          <w:rFonts w:ascii="Arial" w:cs="Arial" w:eastAsia="Arial" w:hAnsi="Arial"/>
          <w:sz w:val="13"/>
          <w:szCs w:val="13"/>
          <w:color w:val="008000"/>
        </w:rPr>
      </w:pPr>
    </w:p>
    <w:p>
      <w:pPr>
        <w:ind w:left="40" w:right="400" w:firstLine="3"/>
        <w:spacing w:after="0" w:line="260"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23, 2020, the Compensation Committee approved an award of restricted stock units to be granted to the Reporting Person, effective September 4, 2020 (the "RSU"). The number of shares of the Issuer's Class A Common Stock issuable under the RSU was determined by dividing $7,000,000 by the average closing price of the Issuer's Class A Common Stock over the sixty (60) day trading period ending seven days prior to the September 4, 2020 grant date and rounding up to the nearest whole share. The RSU vests as to 1/4th of the shares subject to the RSU on the one-year anniversary of the grant date, with1/12 of the remaining shares vesting in equal quarterly installments over the next three years subject to the Reporting Person's continuous service as of such vesting dates. The RSU is subject to accelerated vesting in the event of termination of employment by the Reporting Person under certain circumstances in connection with a change in control of the Issuer.</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Aparna Bawa</w:t>
            </w:r>
          </w:p>
        </w:tc>
        <w:tc>
          <w:tcPr>
            <w:tcW w:w="10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06/10/2021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0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2021-06-10T17:43:33Z</dcterms:created>
  <dcterms:modified xsi:type="dcterms:W3CDTF">2021-06-10T17:43:33Z</dcterms:modified>
</cp:coreProperties>
</file>