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277100" cy="938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0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460"/>
            <w:col w:w="8680"/>
          </w:cols>
          <w:pgMar w:left="240" w:top="222" w:right="239" w:bottom="0" w:gutter="0" w:footer="0" w:header="0"/>
        </w:sectPr>
      </w:pPr>
    </w:p>
    <w:tbl>
      <w:tblPr>
        <w:tblLayout w:type="fixed"/>
        <w:tblInd w:w="80" w:type="dxa"/>
        <w:tblCellMar>
          <w:top w:w="0" w:type="dxa"/>
          <w:left w:w="0" w:type="dxa"/>
          <w:bottom w:w="0" w:type="dxa"/>
          <w:right w:w="0" w:type="dxa"/>
        </w:tblCellMar>
      </w:tblPr>
      <w:tr>
        <w:trPr>
          <w:trHeight w:val="241"/>
        </w:trPr>
        <w:tc>
          <w:tcPr>
            <w:tcW w:w="254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 US (TTGP), LTD.</w:t>
              </w:r>
            </w:hyperlink>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0" w:type="dxa"/>
            <w:vAlign w:val="bottom"/>
            <w:tcBorders>
              <w:top w:val="single" w:sz="8" w:color="0000EE"/>
              <w:bottom w:val="single" w:sz="8" w:color="9A9A9A"/>
            </w:tcBorders>
          </w:tcPr>
          <w:p>
            <w:pPr>
              <w:spacing w:after="0"/>
              <w:rPr>
                <w:sz w:val="19"/>
                <w:szCs w:val="19"/>
                <w:color w:val="auto"/>
              </w:rPr>
            </w:pPr>
          </w:p>
        </w:tc>
        <w:tc>
          <w:tcPr>
            <w:tcW w:w="1020" w:type="dxa"/>
            <w:vAlign w:val="bottom"/>
            <w:tcBorders>
              <w:top w:val="single" w:sz="8" w:color="0000EE"/>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00" w:type="dxa"/>
            <w:vAlign w:val="bottom"/>
            <w:tcBorders>
              <w:top w:val="single" w:sz="8" w:color="EEEEEE"/>
            </w:tcBorders>
            <w:gridSpan w:val="2"/>
            <w:vMerge w:val="restart"/>
          </w:tcPr>
          <w:p>
            <w:pPr>
              <w:ind w:left="480"/>
              <w:spacing w:after="0"/>
              <w:rPr>
                <w:sz w:val="20"/>
                <w:szCs w:val="20"/>
                <w:color w:val="auto"/>
              </w:rPr>
            </w:pPr>
            <w:r>
              <w:rPr>
                <w:rFonts w:ascii="Arial" w:cs="Arial" w:eastAsia="Arial" w:hAnsi="Arial"/>
                <w:sz w:val="13"/>
                <w:szCs w:val="13"/>
                <w:color w:val="auto"/>
              </w:rPr>
              <w:t>(First)</w:t>
            </w:r>
          </w:p>
        </w:tc>
        <w:tc>
          <w:tcPr>
            <w:tcW w:w="128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310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12/09/2019</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2800 SAND HILL ROAD, SUITE 101</w:t>
            </w:r>
          </w:p>
        </w:tc>
        <w:tc>
          <w:tcPr>
            <w:tcW w:w="310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 w:right="6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0"/>
          <w:szCs w:val="20"/>
          <w:color w:val="auto"/>
        </w:rPr>
      </w:pPr>
    </w:p>
    <w:p>
      <w:pPr>
        <w:ind w:left="538"/>
        <w:spacing w:after="0"/>
        <w:tabs>
          <w:tab w:leader="none" w:pos="1837" w:val="left"/>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3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07" w:lineRule="exact"/>
        <w:rPr>
          <w:sz w:val="20"/>
          <w:szCs w:val="20"/>
          <w:color w:val="auto"/>
        </w:rPr>
      </w:pPr>
    </w:p>
    <w:p>
      <w:pPr>
        <w:sectPr>
          <w:pgSz w:w="11900" w:h="16838" w:orient="portrait"/>
          <w:cols w:equalWidth="0" w:num="2">
            <w:col w:w="7980" w:space="62"/>
            <w:col w:w="3378"/>
          </w:cols>
          <w:pgMar w:left="240" w:top="222" w:right="239" w:bottom="0"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920" w:type="dxa"/>
            <w:vAlign w:val="bottom"/>
          </w:tcPr>
          <w:p>
            <w:pPr>
              <w:ind w:left="100"/>
              <w:spacing w:after="0"/>
              <w:rPr>
                <w:sz w:val="20"/>
                <w:szCs w:val="20"/>
                <w:color w:val="auto"/>
              </w:rPr>
            </w:pPr>
            <w:r>
              <w:rPr>
                <w:rFonts w:ascii="Arial" w:cs="Arial" w:eastAsia="Arial" w:hAnsi="Arial"/>
                <w:sz w:val="17"/>
                <w:szCs w:val="17"/>
                <w:color w:val="0000FF"/>
              </w:rPr>
              <w:t>CA</w:t>
            </w:r>
          </w:p>
        </w:tc>
        <w:tc>
          <w:tcPr>
            <w:tcW w:w="1680" w:type="dxa"/>
            <w:vAlign w:val="bottom"/>
          </w:tcPr>
          <w:p>
            <w:pPr>
              <w:ind w:left="46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spacing w:after="0" w:line="33"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One Reporting Person</w:t>
      </w:r>
    </w:p>
    <w:p>
      <w:pPr>
        <w:jc w:val="both"/>
        <w:ind w:left="4200"/>
        <w:spacing w:after="0" w:line="23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86" w:lineRule="exact"/>
        <w:rPr>
          <w:sz w:val="20"/>
          <w:szCs w:val="20"/>
          <w:color w:val="auto"/>
        </w:rPr>
      </w:pPr>
    </w:p>
    <w:p>
      <w:pPr>
        <w:sectPr>
          <w:pgSz w:w="11900" w:h="16838" w:orient="portrait"/>
          <w:cols w:equalWidth="0" w:num="2">
            <w:col w:w="3900" w:space="160"/>
            <w:col w:w="7360"/>
          </w:cols>
          <w:pgMar w:left="240" w:top="222" w:right="239" w:bottom="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jc w:val="center"/>
              <w:ind w:left="743"/>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208"/>
        </w:trPr>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500" w:type="dxa"/>
            <w:vAlign w:val="bottom"/>
          </w:tcPr>
          <w:p>
            <w:pPr>
              <w:ind w:left="220"/>
              <w:spacing w:after="0"/>
              <w:rPr>
                <w:sz w:val="20"/>
                <w:szCs w:val="20"/>
                <w:color w:val="auto"/>
              </w:rPr>
            </w:pPr>
            <w:r>
              <w:rPr>
                <w:rFonts w:ascii="Arial" w:cs="Arial" w:eastAsia="Arial" w:hAnsi="Arial"/>
                <w:sz w:val="17"/>
                <w:szCs w:val="17"/>
                <w:color w:val="0000FF"/>
              </w:rPr>
              <w:t>A</w:t>
            </w:r>
          </w:p>
        </w:tc>
        <w:tc>
          <w:tcPr>
            <w:tcW w:w="680" w:type="dxa"/>
            <w:vAlign w:val="bottom"/>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 II</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9"/>
              </w:rPr>
              <w:t>1,881,643</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9"/>
              </w:rPr>
              <w:t>1,881,643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VII,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122,450</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122,450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VII</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38,908</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8"/>
              </w:rPr>
              <w:t>38,908</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V,</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6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208"/>
        </w:trPr>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tcPr>
          <w:p>
            <w:pPr>
              <w:jc w:val="center"/>
              <w:ind w:right="260"/>
              <w:spacing w:after="0" w:line="207"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(5)</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500" w:type="dxa"/>
            <w:vAlign w:val="bottom"/>
          </w:tcPr>
          <w:p>
            <w:pPr>
              <w:ind w:left="220"/>
              <w:spacing w:after="0"/>
              <w:rPr>
                <w:sz w:val="20"/>
                <w:szCs w:val="20"/>
                <w:color w:val="auto"/>
              </w:rPr>
            </w:pPr>
            <w:r>
              <w:rPr>
                <w:rFonts w:ascii="Arial" w:cs="Arial" w:eastAsia="Arial" w:hAnsi="Arial"/>
                <w:sz w:val="17"/>
                <w:szCs w:val="17"/>
                <w:color w:val="0000FF"/>
              </w:rPr>
              <w:t>D</w:t>
            </w:r>
          </w:p>
        </w:tc>
        <w:tc>
          <w:tcPr>
            <w:tcW w:w="680" w:type="dxa"/>
            <w:vAlign w:val="bottom"/>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4"/>
              </w:rPr>
              <w:t>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 II</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69"/>
        </w:trPr>
        <w:tc>
          <w:tcPr>
            <w:tcW w:w="2580" w:type="dxa"/>
            <w:vAlign w:val="bottom"/>
            <w:tcBorders>
              <w:bottom w:val="single" w:sz="8" w:color="808080"/>
            </w:tcBorders>
          </w:tcPr>
          <w:p>
            <w:pPr>
              <w:spacing w:after="0"/>
              <w:rPr>
                <w:sz w:val="23"/>
                <w:szCs w:val="23"/>
                <w:color w:val="auto"/>
              </w:rPr>
            </w:pPr>
          </w:p>
        </w:tc>
        <w:tc>
          <w:tcPr>
            <w:tcW w:w="1900" w:type="dxa"/>
            <w:vAlign w:val="bottom"/>
            <w:tcBorders>
              <w:bottom w:val="single" w:sz="8" w:color="808080"/>
            </w:tcBorders>
          </w:tcPr>
          <w:p>
            <w:pPr>
              <w:spacing w:after="0"/>
              <w:rPr>
                <w:sz w:val="23"/>
                <w:szCs w:val="23"/>
                <w:color w:val="auto"/>
              </w:rPr>
            </w:pPr>
          </w:p>
        </w:tc>
        <w:tc>
          <w:tcPr>
            <w:tcW w:w="11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98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2" w:right="23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7710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7100" cy="10515600"/>
                    </a:xfrm>
                    <a:prstGeom prst="rect">
                      <a:avLst/>
                    </a:prstGeom>
                    <a:noFill/>
                  </pic:spPr>
                </pic:pic>
              </a:graphicData>
            </a:graphic>
          </wp:anchor>
        </w:drawing>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8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2"/>
          </w:tcPr>
          <w:p>
            <w:pPr>
              <w:ind w:left="860"/>
              <w:spacing w:after="0" w:line="128" w:lineRule="exact"/>
              <w:rPr>
                <w:sz w:val="20"/>
                <w:szCs w:val="20"/>
                <w:color w:val="auto"/>
              </w:rPr>
            </w:pPr>
            <w:r>
              <w:rPr>
                <w:rFonts w:ascii="Arial" w:cs="Arial" w:eastAsia="Arial" w:hAnsi="Arial"/>
                <w:sz w:val="12"/>
                <w:szCs w:val="12"/>
                <w:b w:val="1"/>
                <w:bCs w:val="1"/>
                <w:color w:val="auto"/>
                <w:w w:val="92"/>
              </w:rPr>
              <w:t>Date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4"/>
          </w:tcPr>
          <w:p>
            <w:pPr>
              <w:ind w:left="86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7"/>
                <w:szCs w:val="17"/>
                <w:color w:val="0000FF"/>
              </w:rPr>
              <w:t>12/09/2019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120" w:type="dxa"/>
            <w:vAlign w:val="bottom"/>
          </w:tcPr>
          <w:p>
            <w:pPr>
              <w:spacing w:after="0"/>
              <w:rPr>
                <w:sz w:val="18"/>
                <w:szCs w:val="18"/>
                <w:color w:val="auto"/>
              </w:rPr>
            </w:pPr>
          </w:p>
        </w:tc>
        <w:tc>
          <w:tcPr>
            <w:tcW w:w="1060" w:type="dxa"/>
            <w:vAlign w:val="bottom"/>
            <w:gridSpan w:val="2"/>
            <w:vMerge w:val="restart"/>
          </w:tcPr>
          <w:p>
            <w:pPr>
              <w:jc w:val="center"/>
              <w:ind w:right="159"/>
              <w:spacing w:after="0"/>
              <w:rPr>
                <w:sz w:val="20"/>
                <w:szCs w:val="20"/>
                <w:color w:val="auto"/>
              </w:rPr>
            </w:pPr>
            <w:r>
              <w:rPr>
                <w:rFonts w:ascii="Arial" w:cs="Arial" w:eastAsia="Arial" w:hAnsi="Arial"/>
                <w:sz w:val="17"/>
                <w:szCs w:val="17"/>
                <w:color w:val="0000FF"/>
                <w:w w:val="89"/>
              </w:rPr>
              <w:t>1,881,643</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ind w:left="560"/>
              <w:spacing w:after="0"/>
              <w:rPr>
                <w:sz w:val="20"/>
                <w:szCs w:val="20"/>
                <w:color w:val="auto"/>
              </w:rPr>
            </w:pPr>
            <w:r>
              <w:rPr>
                <w:rFonts w:ascii="Arial" w:cs="Arial" w:eastAsia="Arial" w:hAnsi="Arial"/>
                <w:sz w:val="17"/>
                <w:szCs w:val="17"/>
                <w:color w:val="0000FF"/>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6"/>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 VII,</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(3)</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7"/>
                <w:szCs w:val="17"/>
                <w:color w:val="0000FF"/>
              </w:rPr>
              <w:t>12/09/2019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120" w:type="dxa"/>
            <w:vAlign w:val="bottom"/>
          </w:tcPr>
          <w:p>
            <w:pPr>
              <w:spacing w:after="0"/>
              <w:rPr>
                <w:sz w:val="18"/>
                <w:szCs w:val="18"/>
                <w:color w:val="auto"/>
              </w:rPr>
            </w:pPr>
          </w:p>
        </w:tc>
        <w:tc>
          <w:tcPr>
            <w:tcW w:w="1060" w:type="dxa"/>
            <w:vAlign w:val="bottom"/>
            <w:gridSpan w:val="2"/>
            <w:vMerge w:val="restart"/>
          </w:tcPr>
          <w:p>
            <w:pPr>
              <w:jc w:val="center"/>
              <w:ind w:right="159"/>
              <w:spacing w:after="0"/>
              <w:rPr>
                <w:sz w:val="20"/>
                <w:szCs w:val="20"/>
                <w:color w:val="auto"/>
              </w:rPr>
            </w:pPr>
            <w:r>
              <w:rPr>
                <w:rFonts w:ascii="Arial" w:cs="Arial" w:eastAsia="Arial" w:hAnsi="Arial"/>
                <w:sz w:val="17"/>
                <w:szCs w:val="17"/>
                <w:color w:val="0000FF"/>
                <w:w w:val="91"/>
              </w:rPr>
              <w:t>122,450</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ind w:left="560"/>
              <w:spacing w:after="0"/>
              <w:rPr>
                <w:sz w:val="20"/>
                <w:szCs w:val="20"/>
                <w:color w:val="auto"/>
              </w:rPr>
            </w:pPr>
            <w:r>
              <w:rPr>
                <w:rFonts w:ascii="Arial" w:cs="Arial" w:eastAsia="Arial" w:hAnsi="Arial"/>
                <w:sz w:val="17"/>
                <w:szCs w:val="17"/>
                <w:color w:val="0000FF"/>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6"/>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VII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(3)</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3"/>
            <w:vMerge w:val="restart"/>
          </w:tcPr>
          <w:p>
            <w:pPr>
              <w:ind w:left="960"/>
              <w:spacing w:after="0"/>
              <w:rPr>
                <w:sz w:val="20"/>
                <w:szCs w:val="20"/>
                <w:color w:val="auto"/>
              </w:rPr>
            </w:pPr>
            <w:r>
              <w:rPr>
                <w:rFonts w:ascii="Arial" w:cs="Arial" w:eastAsia="Arial" w:hAnsi="Arial"/>
                <w:sz w:val="17"/>
                <w:szCs w:val="17"/>
                <w:color w:val="0000FF"/>
              </w:rPr>
              <w:t>12/09/2019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120" w:type="dxa"/>
            <w:vAlign w:val="bottom"/>
          </w:tcPr>
          <w:p>
            <w:pPr>
              <w:spacing w:after="0"/>
              <w:rPr>
                <w:sz w:val="18"/>
                <w:szCs w:val="18"/>
                <w:color w:val="auto"/>
              </w:rPr>
            </w:pPr>
          </w:p>
        </w:tc>
        <w:tc>
          <w:tcPr>
            <w:tcW w:w="1060" w:type="dxa"/>
            <w:vAlign w:val="bottom"/>
            <w:gridSpan w:val="2"/>
            <w:vMerge w:val="restart"/>
          </w:tcPr>
          <w:p>
            <w:pPr>
              <w:jc w:val="center"/>
              <w:ind w:right="159"/>
              <w:spacing w:after="0"/>
              <w:rPr>
                <w:sz w:val="20"/>
                <w:szCs w:val="20"/>
                <w:color w:val="auto"/>
              </w:rPr>
            </w:pPr>
            <w:r>
              <w:rPr>
                <w:rFonts w:ascii="Arial" w:cs="Arial" w:eastAsia="Arial" w:hAnsi="Arial"/>
                <w:sz w:val="17"/>
                <w:szCs w:val="17"/>
                <w:color w:val="0000FF"/>
                <w:w w:val="92"/>
              </w:rPr>
              <w:t>38,908</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ind w:left="560"/>
              <w:spacing w:after="0"/>
              <w:rPr>
                <w:sz w:val="20"/>
                <w:szCs w:val="20"/>
                <w:color w:val="auto"/>
              </w:rPr>
            </w:pPr>
            <w:r>
              <w:rPr>
                <w:rFonts w:ascii="Arial" w:cs="Arial" w:eastAsia="Arial" w:hAnsi="Arial"/>
                <w:sz w:val="17"/>
                <w:szCs w:val="17"/>
                <w:color w:val="0000FF"/>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6"/>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 V,</w:t>
            </w: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540" w:type="dxa"/>
            <w:vAlign w:val="bottom"/>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2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9"/>
              <w:spacing w:after="0" w:line="178" w:lineRule="exact"/>
              <w:rPr>
                <w:sz w:val="20"/>
                <w:szCs w:val="20"/>
                <w:color w:val="auto"/>
              </w:rPr>
            </w:pPr>
            <w:r>
              <w:rPr>
                <w:rFonts w:ascii="Arial" w:cs="Arial" w:eastAsia="Arial" w:hAnsi="Arial"/>
                <w:sz w:val="17"/>
                <w:szCs w:val="17"/>
                <w:color w:val="0000FF"/>
                <w:w w:val="87"/>
              </w:rPr>
              <w:t>647,046</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120" w:type="dxa"/>
            <w:vAlign w:val="bottom"/>
            <w:gridSpan w:val="2"/>
            <w:vMerge w:val="restart"/>
          </w:tcPr>
          <w:p>
            <w:pPr>
              <w:ind w:left="240"/>
              <w:spacing w:after="0" w:line="100" w:lineRule="exact"/>
              <w:rPr>
                <w:sz w:val="20"/>
                <w:szCs w:val="20"/>
                <w:color w:val="auto"/>
              </w:rPr>
            </w:pPr>
            <w:r>
              <w:rPr>
                <w:rFonts w:ascii="Arial" w:cs="Arial" w:eastAsia="Arial" w:hAnsi="Arial"/>
                <w:sz w:val="11"/>
                <w:szCs w:val="11"/>
                <w:color w:val="0000FF"/>
              </w:rPr>
              <w:t>12/09/2019</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161"/>
              <w:spacing w:after="0" w:line="100" w:lineRule="exact"/>
              <w:rPr>
                <w:sz w:val="20"/>
                <w:szCs w:val="20"/>
                <w:color w:val="auto"/>
              </w:rPr>
            </w:pPr>
            <w:r>
              <w:rPr>
                <w:rFonts w:ascii="Arial" w:cs="Arial" w:eastAsia="Arial" w:hAnsi="Arial"/>
                <w:sz w:val="11"/>
                <w:szCs w:val="11"/>
                <w:color w:val="0000FF"/>
              </w:rPr>
              <w:t>647,046</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9"/>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ind w:right="1"/>
              <w:spacing w:after="0" w:line="100" w:lineRule="exact"/>
              <w:rPr>
                <w:sz w:val="20"/>
                <w:szCs w:val="20"/>
                <w:color w:val="auto"/>
              </w:rPr>
            </w:pPr>
            <w:r>
              <w:rPr>
                <w:rFonts w:ascii="Arial" w:cs="Arial" w:eastAsia="Arial" w:hAnsi="Arial"/>
                <w:sz w:val="11"/>
                <w:szCs w:val="11"/>
                <w:color w:val="0000FF"/>
              </w:rPr>
              <w:t>5,176,371</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9"/>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(1)(2)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12"/>
                <w:szCs w:val="12"/>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tcPr>
          <w:p>
            <w:pPr>
              <w:jc w:val="center"/>
              <w:ind w:left="59"/>
              <w:spacing w:after="0" w:line="143" w:lineRule="exact"/>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39"/>
              <w:spacing w:after="0"/>
              <w:rPr>
                <w:sz w:val="20"/>
                <w:szCs w:val="20"/>
                <w:color w:val="auto"/>
              </w:rPr>
            </w:pPr>
            <w:r>
              <w:rPr>
                <w:rFonts w:ascii="Arial" w:cs="Arial" w:eastAsia="Arial" w:hAnsi="Arial"/>
                <w:sz w:val="17"/>
                <w:szCs w:val="17"/>
                <w:color w:val="0000FF"/>
                <w:w w:val="89"/>
              </w:rPr>
              <w:t>8,021</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20" w:type="dxa"/>
            <w:vAlign w:val="bottom"/>
            <w:gridSpan w:val="2"/>
          </w:tcPr>
          <w:p>
            <w:pPr>
              <w:ind w:left="240"/>
              <w:spacing w:after="0" w:line="143" w:lineRule="exact"/>
              <w:rPr>
                <w:sz w:val="20"/>
                <w:szCs w:val="20"/>
                <w:color w:val="auto"/>
              </w:rPr>
            </w:pPr>
            <w:r>
              <w:rPr>
                <w:rFonts w:ascii="Arial" w:cs="Arial" w:eastAsia="Arial" w:hAnsi="Arial"/>
                <w:sz w:val="13"/>
                <w:szCs w:val="13"/>
                <w:color w:val="0000FF"/>
              </w:rPr>
              <w:t>12/09/2019</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120"/>
              <w:spacing w:after="0" w:line="143" w:lineRule="exact"/>
              <w:rPr>
                <w:sz w:val="20"/>
                <w:szCs w:val="20"/>
                <w:color w:val="auto"/>
              </w:rPr>
            </w:pPr>
            <w:r>
              <w:rPr>
                <w:rFonts w:ascii="Arial" w:cs="Arial" w:eastAsia="Arial" w:hAnsi="Arial"/>
                <w:sz w:val="13"/>
                <w:szCs w:val="13"/>
                <w:color w:val="0000FF"/>
              </w:rPr>
              <w:t>C</w:t>
            </w:r>
          </w:p>
        </w:tc>
        <w:tc>
          <w:tcPr>
            <w:tcW w:w="920" w:type="dxa"/>
            <w:vAlign w:val="bottom"/>
          </w:tcPr>
          <w:p>
            <w:pPr>
              <w:jc w:val="center"/>
              <w:ind w:left="161"/>
              <w:spacing w:after="0" w:line="143" w:lineRule="exact"/>
              <w:rPr>
                <w:sz w:val="20"/>
                <w:szCs w:val="20"/>
                <w:color w:val="auto"/>
              </w:rPr>
            </w:pPr>
            <w:r>
              <w:rPr>
                <w:rFonts w:ascii="Arial" w:cs="Arial" w:eastAsia="Arial" w:hAnsi="Arial"/>
                <w:sz w:val="13"/>
                <w:szCs w:val="13"/>
                <w:color w:val="0000FF"/>
                <w:w w:val="92"/>
              </w:rPr>
              <w:t>8,021</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9"/>
              <w:spacing w:after="0" w:line="143"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gridSpan w:val="2"/>
          </w:tcPr>
          <w:p>
            <w:pPr>
              <w:jc w:val="center"/>
              <w:ind w:right="1"/>
              <w:spacing w:after="0" w:line="143" w:lineRule="exact"/>
              <w:rPr>
                <w:sz w:val="20"/>
                <w:szCs w:val="20"/>
                <w:color w:val="auto"/>
              </w:rPr>
            </w:pPr>
            <w:r>
              <w:rPr>
                <w:rFonts w:ascii="Arial" w:cs="Arial" w:eastAsia="Arial" w:hAnsi="Arial"/>
                <w:sz w:val="13"/>
                <w:szCs w:val="13"/>
                <w:color w:val="0000FF"/>
                <w:w w:val="90"/>
              </w:rPr>
              <w:t>64,163</w:t>
            </w:r>
          </w:p>
        </w:tc>
        <w:tc>
          <w:tcPr>
            <w:tcW w:w="640" w:type="dxa"/>
            <w:vAlign w:val="bottom"/>
          </w:tcPr>
          <w:p>
            <w:pPr>
              <w:ind w:left="360"/>
              <w:spacing w:after="0" w:line="143" w:lineRule="exact"/>
              <w:rPr>
                <w:sz w:val="20"/>
                <w:szCs w:val="20"/>
                <w:color w:val="auto"/>
              </w:rPr>
            </w:pPr>
            <w:r>
              <w:rPr>
                <w:rFonts w:ascii="Arial" w:cs="Arial" w:eastAsia="Arial" w:hAnsi="Arial"/>
                <w:sz w:val="13"/>
                <w:szCs w:val="13"/>
                <w:color w:val="0000FF"/>
              </w:rPr>
              <w:t>I</w:t>
            </w: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ind w:left="39"/>
              <w:spacing w:after="0" w:line="143"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39"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Arial" w:cs="Arial" w:eastAsia="Arial" w:hAnsi="Arial"/>
                <w:sz w:val="11"/>
                <w:szCs w:val="11"/>
                <w:color w:val="008000"/>
              </w:rPr>
              <w:t>(1)(2)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spacing w:after="0" w:line="178" w:lineRule="exact"/>
              <w:rPr>
                <w:sz w:val="20"/>
                <w:szCs w:val="20"/>
                <w:color w:val="auto"/>
              </w:rPr>
            </w:pPr>
            <w:r>
              <w:rPr>
                <w:rFonts w:ascii="Arial" w:cs="Arial" w:eastAsia="Arial" w:hAnsi="Arial"/>
                <w:sz w:val="17"/>
                <w:szCs w:val="17"/>
                <w:color w:val="0000FF"/>
                <w:w w:val="87"/>
              </w:rPr>
              <w:t>1,881,643</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120" w:type="dxa"/>
            <w:vAlign w:val="bottom"/>
            <w:gridSpan w:val="2"/>
            <w:vMerge w:val="restart"/>
          </w:tcPr>
          <w:p>
            <w:pPr>
              <w:ind w:left="240"/>
              <w:spacing w:after="0" w:line="100" w:lineRule="exact"/>
              <w:rPr>
                <w:sz w:val="20"/>
                <w:szCs w:val="20"/>
                <w:color w:val="auto"/>
              </w:rPr>
            </w:pPr>
            <w:r>
              <w:rPr>
                <w:rFonts w:ascii="Arial" w:cs="Arial" w:eastAsia="Arial" w:hAnsi="Arial"/>
                <w:sz w:val="11"/>
                <w:szCs w:val="11"/>
                <w:color w:val="0000FF"/>
              </w:rPr>
              <w:t>12/09/2019</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141"/>
              <w:spacing w:after="0" w:line="100" w:lineRule="exact"/>
              <w:rPr>
                <w:sz w:val="20"/>
                <w:szCs w:val="20"/>
                <w:color w:val="auto"/>
              </w:rPr>
            </w:pPr>
            <w:r>
              <w:rPr>
                <w:rFonts w:ascii="Arial" w:cs="Arial" w:eastAsia="Arial" w:hAnsi="Arial"/>
                <w:sz w:val="11"/>
                <w:szCs w:val="11"/>
                <w:color w:val="0000FF"/>
              </w:rPr>
              <w:t>1,881,643</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9"/>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15,053,148</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9"/>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9"/>
              <w:spacing w:after="0" w:line="178" w:lineRule="exact"/>
              <w:rPr>
                <w:sz w:val="20"/>
                <w:szCs w:val="20"/>
                <w:color w:val="auto"/>
              </w:rPr>
            </w:pPr>
            <w:r>
              <w:rPr>
                <w:rFonts w:ascii="Arial" w:cs="Arial" w:eastAsia="Arial" w:hAnsi="Arial"/>
                <w:sz w:val="17"/>
                <w:szCs w:val="17"/>
                <w:color w:val="0000FF"/>
                <w:w w:val="87"/>
              </w:rPr>
              <w:t>122,450</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120" w:type="dxa"/>
            <w:vAlign w:val="bottom"/>
            <w:gridSpan w:val="2"/>
            <w:vMerge w:val="restart"/>
          </w:tcPr>
          <w:p>
            <w:pPr>
              <w:ind w:left="240"/>
              <w:spacing w:after="0" w:line="100" w:lineRule="exact"/>
              <w:rPr>
                <w:sz w:val="20"/>
                <w:szCs w:val="20"/>
                <w:color w:val="auto"/>
              </w:rPr>
            </w:pPr>
            <w:r>
              <w:rPr>
                <w:rFonts w:ascii="Arial" w:cs="Arial" w:eastAsia="Arial" w:hAnsi="Arial"/>
                <w:sz w:val="11"/>
                <w:szCs w:val="11"/>
                <w:color w:val="0000FF"/>
              </w:rPr>
              <w:t>12/09/2019</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20" w:type="dxa"/>
            <w:vAlign w:val="bottom"/>
            <w:vMerge w:val="restart"/>
          </w:tcPr>
          <w:p>
            <w:pPr>
              <w:jc w:val="center"/>
              <w:ind w:left="161"/>
              <w:spacing w:after="0" w:line="100" w:lineRule="exact"/>
              <w:rPr>
                <w:sz w:val="20"/>
                <w:szCs w:val="20"/>
                <w:color w:val="auto"/>
              </w:rPr>
            </w:pPr>
            <w:r>
              <w:rPr>
                <w:rFonts w:ascii="Arial" w:cs="Arial" w:eastAsia="Arial" w:hAnsi="Arial"/>
                <w:sz w:val="11"/>
                <w:szCs w:val="11"/>
                <w:color w:val="0000FF"/>
              </w:rPr>
              <w:t>122,450</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9"/>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979,599</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 VII</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9"/>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13"/>
                <w:szCs w:val="13"/>
                <w:color w:val="0000FF"/>
                <w:w w:val="94"/>
              </w:rPr>
              <w:t>Fund, LP</w:t>
            </w:r>
            <w:r>
              <w:rPr>
                <w:rFonts w:ascii="Arial" w:cs="Arial" w:eastAsia="Arial" w:hAnsi="Arial"/>
                <w:sz w:val="21"/>
                <w:szCs w:val="21"/>
                <w:color w:val="008000"/>
                <w:w w:val="94"/>
                <w:vertAlign w:val="superscript"/>
              </w:rPr>
              <w:t>(3)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9"/>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2"/>
            <w:vMerge w:val="restart"/>
          </w:tcPr>
          <w:p>
            <w:pPr>
              <w:jc w:val="right"/>
              <w:ind w:right="324"/>
              <w:spacing w:after="0"/>
              <w:rPr>
                <w:sz w:val="20"/>
                <w:szCs w:val="20"/>
                <w:color w:val="auto"/>
              </w:rPr>
            </w:pPr>
            <w:r>
              <w:rPr>
                <w:rFonts w:ascii="Arial" w:cs="Arial" w:eastAsia="Arial" w:hAnsi="Arial"/>
                <w:sz w:val="11"/>
                <w:szCs w:val="11"/>
                <w:color w:val="008000"/>
              </w:rPr>
              <w:t>(6)</w:t>
            </w:r>
          </w:p>
        </w:tc>
        <w:tc>
          <w:tcPr>
            <w:tcW w:w="120" w:type="dxa"/>
            <w:vAlign w:val="bottom"/>
          </w:tcPr>
          <w:p>
            <w:pPr>
              <w:spacing w:after="0"/>
              <w:rPr>
                <w:sz w:val="6"/>
                <w:szCs w:val="6"/>
                <w:color w:val="auto"/>
              </w:rPr>
            </w:pPr>
          </w:p>
        </w:tc>
        <w:tc>
          <w:tcPr>
            <w:tcW w:w="540" w:type="dxa"/>
            <w:vAlign w:val="bottom"/>
            <w:vMerge w:val="restart"/>
          </w:tcPr>
          <w:p>
            <w:pPr>
              <w:jc w:val="center"/>
              <w:ind w:right="116"/>
              <w:spacing w:after="0"/>
              <w:rPr>
                <w:sz w:val="20"/>
                <w:szCs w:val="20"/>
                <w:color w:val="auto"/>
              </w:rPr>
            </w:pPr>
            <w:r>
              <w:rPr>
                <w:rFonts w:ascii="Arial" w:cs="Arial" w:eastAsia="Arial" w:hAnsi="Arial"/>
                <w:sz w:val="11"/>
                <w:szCs w:val="11"/>
                <w:color w:val="008000"/>
                <w:w w:val="88"/>
              </w:rPr>
              <w:t>(6)</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9"/>
              <w:spacing w:after="0"/>
              <w:rPr>
                <w:sz w:val="20"/>
                <w:szCs w:val="20"/>
                <w:color w:val="auto"/>
              </w:rPr>
            </w:pPr>
            <w:r>
              <w:rPr>
                <w:rFonts w:ascii="Arial" w:cs="Arial" w:eastAsia="Arial" w:hAnsi="Arial"/>
                <w:sz w:val="17"/>
                <w:szCs w:val="17"/>
                <w:color w:val="0000FF"/>
                <w:w w:val="88"/>
              </w:rPr>
              <w:t>38,908</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line="143"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3"/>
                <w:szCs w:val="13"/>
                <w:color w:val="0000FF"/>
              </w:rPr>
              <w:t>12/09/2019</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w:t>
            </w:r>
          </w:p>
        </w:tc>
        <w:tc>
          <w:tcPr>
            <w:tcW w:w="920" w:type="dxa"/>
            <w:vAlign w:val="bottom"/>
            <w:vMerge w:val="restart"/>
          </w:tcPr>
          <w:p>
            <w:pPr>
              <w:jc w:val="center"/>
              <w:ind w:left="141"/>
              <w:spacing w:after="0"/>
              <w:rPr>
                <w:sz w:val="20"/>
                <w:szCs w:val="20"/>
                <w:color w:val="auto"/>
              </w:rPr>
            </w:pPr>
            <w:r>
              <w:rPr>
                <w:rFonts w:ascii="Arial" w:cs="Arial" w:eastAsia="Arial" w:hAnsi="Arial"/>
                <w:sz w:val="13"/>
                <w:szCs w:val="13"/>
                <w:color w:val="0000FF"/>
                <w:w w:val="90"/>
              </w:rPr>
              <w:t>38,908</w:t>
            </w: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jc w:val="center"/>
              <w:ind w:right="3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155,630</w:t>
            </w:r>
          </w:p>
        </w:tc>
        <w:tc>
          <w:tcPr>
            <w:tcW w:w="6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3"/>
            <w:vMerge w:val="restart"/>
          </w:tcPr>
          <w:p>
            <w:pPr>
              <w:ind w:left="180"/>
              <w:spacing w:after="0" w:line="126"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jc w:val="center"/>
              <w:ind w:left="39"/>
              <w:spacing w:after="0" w:line="143"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81"/>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(4)</w:t>
            </w: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4"/>
          </w:tcPr>
          <w:p>
            <w:pPr>
              <w:spacing w:after="0" w:line="217" w:lineRule="exact"/>
              <w:rPr>
                <w:rFonts w:ascii="Arial" w:cs="Arial" w:eastAsia="Arial" w:hAnsi="Arial"/>
                <w:sz w:val="21"/>
                <w:szCs w:val="21"/>
                <w:color w:val="0000EE"/>
              </w:rPr>
            </w:pPr>
            <w:hyperlink r:id="rId12">
              <w:r>
                <w:rPr>
                  <w:rFonts w:ascii="Arial" w:cs="Arial" w:eastAsia="Arial" w:hAnsi="Arial"/>
                  <w:sz w:val="21"/>
                  <w:szCs w:val="21"/>
                  <w:color w:val="0000EE"/>
                </w:rPr>
                <w:t>SC US (TTGP), LTD.</w:t>
              </w:r>
            </w:hyperlink>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2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20" w:type="dxa"/>
            <w:vAlign w:val="bottom"/>
            <w:gridSpan w:val="6"/>
          </w:tcPr>
          <w:p>
            <w:pPr>
              <w:spacing w:after="0"/>
              <w:rPr>
                <w:sz w:val="20"/>
                <w:szCs w:val="20"/>
                <w:color w:val="auto"/>
              </w:rPr>
            </w:pPr>
            <w:r>
              <w:rPr>
                <w:rFonts w:ascii="Arial" w:cs="Arial" w:eastAsia="Arial" w:hAnsi="Arial"/>
                <w:sz w:val="17"/>
                <w:szCs w:val="17"/>
                <w:color w:val="0000FF"/>
              </w:rPr>
              <w:t>2800 SAND HILL ROAD, SUITE 101</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20" w:type="dxa"/>
            <w:vAlign w:val="bottom"/>
            <w:gridSpan w:val="2"/>
          </w:tcPr>
          <w:p>
            <w:pPr>
              <w:ind w:left="80"/>
              <w:spacing w:after="0"/>
              <w:rPr>
                <w:sz w:val="20"/>
                <w:szCs w:val="20"/>
                <w:color w:val="auto"/>
              </w:rPr>
            </w:pPr>
            <w:r>
              <w:rPr>
                <w:rFonts w:ascii="Arial" w:cs="Arial" w:eastAsia="Arial" w:hAnsi="Arial"/>
                <w:sz w:val="17"/>
                <w:szCs w:val="17"/>
                <w:color w:val="0000FF"/>
              </w:rPr>
              <w:t>CA</w:t>
            </w:r>
          </w:p>
        </w:tc>
        <w:tc>
          <w:tcPr>
            <w:tcW w:w="1060" w:type="dxa"/>
            <w:vAlign w:val="bottom"/>
          </w:tcPr>
          <w:p>
            <w:pPr>
              <w:ind w:left="420"/>
              <w:spacing w:after="0"/>
              <w:rPr>
                <w:sz w:val="20"/>
                <w:szCs w:val="20"/>
                <w:color w:val="auto"/>
              </w:rPr>
            </w:pPr>
            <w:r>
              <w:rPr>
                <w:rFonts w:ascii="Arial" w:cs="Arial" w:eastAsia="Arial" w:hAnsi="Arial"/>
                <w:sz w:val="17"/>
                <w:szCs w:val="17"/>
                <w:color w:val="0000FF"/>
              </w:rPr>
              <w:t>94025</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2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-6205855</wp:posOffset>
            </wp:positionV>
            <wp:extent cx="24130" cy="465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130" cy="4658995"/>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LEONE DOUGLAS M</w:t>
        </w:r>
      </w:hyperlink>
    </w:p>
    <w:p>
      <w:pPr>
        <w:sectPr>
          <w:pgSz w:w="11900" w:h="16838" w:orient="portrait"/>
          <w:cols w:equalWidth="0" w:num="1">
            <w:col w:w="11520"/>
          </w:cols>
          <w:pgMar w:left="240" w:top="188" w:right="1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2"/>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3"/>
          </w:tcPr>
          <w:p>
            <w:pPr>
              <w:spacing w:after="0" w:line="217" w:lineRule="exact"/>
              <w:rPr>
                <w:rFonts w:ascii="Arial" w:cs="Arial" w:eastAsia="Arial" w:hAnsi="Arial"/>
                <w:sz w:val="21"/>
                <w:szCs w:val="21"/>
                <w:color w:val="0000EE"/>
              </w:rPr>
            </w:pPr>
            <w:hyperlink r:id="rId17">
              <w:r>
                <w:rPr>
                  <w:rFonts w:ascii="Arial" w:cs="Arial" w:eastAsia="Arial" w:hAnsi="Arial"/>
                  <w:sz w:val="21"/>
                  <w:szCs w:val="21"/>
                  <w:color w:val="0000EE"/>
                </w:rPr>
                <w:t>Abramson Michael Saul</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2"/>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2417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SC Global Growth II Management, L.P.</w:t>
        </w:r>
      </w:hyperlink>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SEQUOIA CAPITAL GLOBAL GROWTH FUND</w:t>
        </w:r>
      </w:hyperlink>
    </w:p>
    <w:p>
      <w:pPr>
        <w:spacing w:after="0" w:line="4" w:lineRule="exact"/>
        <w:rPr>
          <w:sz w:val="20"/>
          <w:szCs w:val="20"/>
          <w:color w:val="auto"/>
        </w:rPr>
      </w:pP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II, L.P.</w:t>
        </w:r>
      </w:hyperlink>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line="232" w:lineRule="auto"/>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SEQUOIA CAPITAL GLOBAL GROWTH II</w:t>
        </w:r>
      </w:hyperlink>
    </w:p>
    <w:p>
      <w:pPr>
        <w:spacing w:after="0" w:line="1" w:lineRule="exact"/>
        <w:rPr>
          <w:sz w:val="20"/>
          <w:szCs w:val="20"/>
          <w:color w:val="auto"/>
        </w:rPr>
      </w:pPr>
    </w:p>
    <w:p>
      <w:pPr>
        <w:ind w:left="10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PRINCIPALS FUND, L.P.</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2"/>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3"/>
          </w:tcPr>
          <w:p>
            <w:pPr>
              <w:spacing w:after="0" w:line="217" w:lineRule="exact"/>
              <w:rPr>
                <w:rFonts w:ascii="Arial" w:cs="Arial" w:eastAsia="Arial" w:hAnsi="Arial"/>
                <w:sz w:val="21"/>
                <w:szCs w:val="21"/>
                <w:color w:val="0000EE"/>
              </w:rPr>
            </w:pPr>
            <w:hyperlink r:id="rId22">
              <w:r>
                <w:rPr>
                  <w:rFonts w:ascii="Arial" w:cs="Arial" w:eastAsia="Arial" w:hAnsi="Arial"/>
                  <w:sz w:val="21"/>
                  <w:szCs w:val="21"/>
                  <w:color w:val="0000EE"/>
                </w:rPr>
                <w:t>SCGF V Management, L.P.</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2"/>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line="232" w:lineRule="auto"/>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SEQUOIA CAPITAL U.S. GROWTH FUND V,</w:t>
        </w:r>
      </w:hyperlink>
    </w:p>
    <w:p>
      <w:pPr>
        <w:spacing w:after="0" w:line="1" w:lineRule="exact"/>
        <w:rPr>
          <w:sz w:val="20"/>
          <w:szCs w:val="20"/>
          <w:color w:val="auto"/>
        </w:rPr>
      </w:pP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L.P.</w:t>
        </w:r>
      </w:hyperlink>
    </w:p>
    <w:p>
      <w:pPr>
        <w:spacing w:after="0" w:line="30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0199"/>
          </w:cols>
          <w:pgMar w:left="260" w:top="178" w:right="1440" w:bottom="0" w:gutter="0" w:footer="0" w:header="0"/>
        </w:sectPr>
      </w:pPr>
    </w:p>
    <w:p>
      <w:pPr>
        <w:spacing w:after="0" w:line="6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2800 SAND HILL ROAD, SUITE 101</w:t>
      </w:r>
    </w:p>
    <w:p>
      <w:pPr>
        <w:sectPr>
          <w:pgSz w:w="11900" w:h="16838" w:orient="portrait"/>
          <w:cols w:equalWidth="0" w:num="1">
            <w:col w:w="10199"/>
          </w:cols>
          <w:pgMar w:left="260" w:top="178" w:right="1440" w:bottom="0" w:gutter="0" w:footer="0" w:header="0"/>
          <w:type w:val="continuous"/>
        </w:sectPr>
      </w:pPr>
    </w:p>
    <w:bookmarkStart w:id="3" w:name="page4"/>
    <w:bookmarkEnd w:id="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24175" cy="4340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924175" cy="434086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56"/>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120" w:type="dxa"/>
            <w:vAlign w:val="bottom"/>
          </w:tcPr>
          <w:p>
            <w:pPr>
              <w:ind w:left="20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25">
        <w:r>
          <w:rPr>
            <w:rFonts w:ascii="Arial" w:cs="Arial" w:eastAsia="Arial" w:hAnsi="Arial"/>
            <w:sz w:val="21"/>
            <w:szCs w:val="21"/>
            <w:u w:val="single" w:color="auto"/>
            <w:color w:val="0000EE"/>
          </w:rPr>
          <w:t>SC U.S. Growth VII Management, L.P.</w:t>
        </w:r>
      </w:hyperlink>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200"/>
              <w:spacing w:after="0"/>
              <w:rPr>
                <w:sz w:val="20"/>
                <w:szCs w:val="20"/>
                <w:color w:val="auto"/>
              </w:rPr>
            </w:pPr>
            <w:r>
              <w:rPr>
                <w:rFonts w:ascii="Arial" w:cs="Arial" w:eastAsia="Arial" w:hAnsi="Arial"/>
                <w:sz w:val="13"/>
                <w:szCs w:val="13"/>
                <w:color w:val="auto"/>
              </w:rPr>
              <w:t>(First)</w:t>
            </w:r>
          </w:p>
        </w:tc>
        <w:tc>
          <w:tcPr>
            <w:tcW w:w="158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780" w:type="dxa"/>
            <w:vAlign w:val="bottom"/>
            <w:gridSpan w:val="2"/>
          </w:tcPr>
          <w:p>
            <w:pPr>
              <w:ind w:left="20"/>
              <w:spacing w:after="0"/>
              <w:rPr>
                <w:sz w:val="20"/>
                <w:szCs w:val="20"/>
                <w:color w:val="auto"/>
              </w:rPr>
            </w:pPr>
            <w:r>
              <w:rPr>
                <w:rFonts w:ascii="Arial" w:cs="Arial" w:eastAsia="Arial" w:hAnsi="Arial"/>
                <w:sz w:val="17"/>
                <w:szCs w:val="17"/>
                <w:color w:val="0000FF"/>
              </w:rPr>
              <w:t>C/O SEQUOIA CAPITAL</w:t>
            </w:r>
          </w:p>
        </w:tc>
        <w:tc>
          <w:tcPr>
            <w:tcW w:w="15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780" w:type="dxa"/>
            <w:vAlign w:val="bottom"/>
            <w:gridSpan w:val="2"/>
          </w:tcPr>
          <w:p>
            <w:pPr>
              <w:ind w:left="20"/>
              <w:spacing w:after="0"/>
              <w:rPr>
                <w:sz w:val="20"/>
                <w:szCs w:val="20"/>
                <w:color w:val="auto"/>
              </w:rPr>
            </w:pPr>
            <w:r>
              <w:rPr>
                <w:rFonts w:ascii="Arial" w:cs="Arial" w:eastAsia="Arial" w:hAnsi="Arial"/>
                <w:sz w:val="17"/>
                <w:szCs w:val="17"/>
                <w:color w:val="0000FF"/>
              </w:rPr>
              <w:t>2800 SAND HILL ROAD SUITE 101</w:t>
            </w:r>
          </w:p>
        </w:tc>
        <w:tc>
          <w:tcPr>
            <w:tcW w:w="158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00" w:type="dxa"/>
            <w:vAlign w:val="bottom"/>
          </w:tcPr>
          <w:p>
            <w:pPr>
              <w:ind w:left="200"/>
              <w:spacing w:after="0"/>
              <w:rPr>
                <w:sz w:val="20"/>
                <w:szCs w:val="20"/>
                <w:color w:val="auto"/>
              </w:rPr>
            </w:pPr>
            <w:r>
              <w:rPr>
                <w:rFonts w:ascii="Arial" w:cs="Arial" w:eastAsia="Arial" w:hAnsi="Arial"/>
                <w:sz w:val="17"/>
                <w:szCs w:val="17"/>
                <w:color w:val="0000FF"/>
              </w:rPr>
              <w:t>CA</w:t>
            </w:r>
          </w:p>
        </w:tc>
        <w:tc>
          <w:tcPr>
            <w:tcW w:w="1580" w:type="dxa"/>
            <w:vAlign w:val="bottom"/>
          </w:tcPr>
          <w:p>
            <w:pPr>
              <w:ind w:left="16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200"/>
              <w:spacing w:after="0"/>
              <w:rPr>
                <w:sz w:val="20"/>
                <w:szCs w:val="20"/>
                <w:color w:val="auto"/>
              </w:rPr>
            </w:pPr>
            <w:r>
              <w:rPr>
                <w:rFonts w:ascii="Arial" w:cs="Arial" w:eastAsia="Arial" w:hAnsi="Arial"/>
                <w:sz w:val="13"/>
                <w:szCs w:val="13"/>
                <w:color w:val="auto"/>
              </w:rPr>
              <w:t>(State)</w:t>
            </w:r>
          </w:p>
        </w:tc>
        <w:tc>
          <w:tcPr>
            <w:tcW w:w="158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line="232" w:lineRule="auto"/>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SEQUOIA CAPITAL U.S. GROWTH FUND VII,</w:t>
        </w:r>
      </w:hyperlink>
    </w:p>
    <w:p>
      <w:pPr>
        <w:spacing w:after="0" w:line="1" w:lineRule="exact"/>
        <w:rPr>
          <w:sz w:val="20"/>
          <w:szCs w:val="20"/>
          <w:color w:val="auto"/>
        </w:rPr>
      </w:pPr>
    </w:p>
    <w:p>
      <w:pPr>
        <w:ind w:left="80"/>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L.P.</w:t>
        </w:r>
      </w:hyperlink>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200"/>
              <w:spacing w:after="0"/>
              <w:rPr>
                <w:sz w:val="20"/>
                <w:szCs w:val="20"/>
                <w:color w:val="auto"/>
              </w:rPr>
            </w:pPr>
            <w:r>
              <w:rPr>
                <w:rFonts w:ascii="Arial" w:cs="Arial" w:eastAsia="Arial" w:hAnsi="Arial"/>
                <w:sz w:val="13"/>
                <w:szCs w:val="13"/>
                <w:color w:val="auto"/>
              </w:rPr>
              <w:t>(First)</w:t>
            </w:r>
          </w:p>
        </w:tc>
        <w:tc>
          <w:tcPr>
            <w:tcW w:w="158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780" w:type="dxa"/>
            <w:vAlign w:val="bottom"/>
            <w:gridSpan w:val="2"/>
          </w:tcPr>
          <w:p>
            <w:pPr>
              <w:ind w:left="20"/>
              <w:spacing w:after="0"/>
              <w:rPr>
                <w:sz w:val="20"/>
                <w:szCs w:val="20"/>
                <w:color w:val="auto"/>
              </w:rPr>
            </w:pPr>
            <w:r>
              <w:rPr>
                <w:rFonts w:ascii="Arial" w:cs="Arial" w:eastAsia="Arial" w:hAnsi="Arial"/>
                <w:sz w:val="17"/>
                <w:szCs w:val="17"/>
                <w:color w:val="0000FF"/>
              </w:rPr>
              <w:t>C/O SEQUOIA CAPITAL</w:t>
            </w:r>
          </w:p>
        </w:tc>
        <w:tc>
          <w:tcPr>
            <w:tcW w:w="15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780" w:type="dxa"/>
            <w:vAlign w:val="bottom"/>
            <w:gridSpan w:val="2"/>
          </w:tcPr>
          <w:p>
            <w:pPr>
              <w:ind w:left="20"/>
              <w:spacing w:after="0"/>
              <w:rPr>
                <w:sz w:val="20"/>
                <w:szCs w:val="20"/>
                <w:color w:val="auto"/>
              </w:rPr>
            </w:pPr>
            <w:r>
              <w:rPr>
                <w:rFonts w:ascii="Arial" w:cs="Arial" w:eastAsia="Arial" w:hAnsi="Arial"/>
                <w:sz w:val="17"/>
                <w:szCs w:val="17"/>
                <w:color w:val="0000FF"/>
              </w:rPr>
              <w:t>2800 SAND HILL ROAD SUITE 101</w:t>
            </w:r>
          </w:p>
        </w:tc>
        <w:tc>
          <w:tcPr>
            <w:tcW w:w="158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00" w:type="dxa"/>
            <w:vAlign w:val="bottom"/>
          </w:tcPr>
          <w:p>
            <w:pPr>
              <w:ind w:left="200"/>
              <w:spacing w:after="0"/>
              <w:rPr>
                <w:sz w:val="20"/>
                <w:szCs w:val="20"/>
                <w:color w:val="auto"/>
              </w:rPr>
            </w:pPr>
            <w:r>
              <w:rPr>
                <w:rFonts w:ascii="Arial" w:cs="Arial" w:eastAsia="Arial" w:hAnsi="Arial"/>
                <w:sz w:val="17"/>
                <w:szCs w:val="17"/>
                <w:color w:val="0000FF"/>
              </w:rPr>
              <w:t>CA</w:t>
            </w:r>
          </w:p>
        </w:tc>
        <w:tc>
          <w:tcPr>
            <w:tcW w:w="1580" w:type="dxa"/>
            <w:vAlign w:val="bottom"/>
          </w:tcPr>
          <w:p>
            <w:pPr>
              <w:ind w:left="16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200"/>
              <w:spacing w:after="0"/>
              <w:rPr>
                <w:sz w:val="20"/>
                <w:szCs w:val="20"/>
                <w:color w:val="auto"/>
              </w:rPr>
            </w:pPr>
            <w:r>
              <w:rPr>
                <w:rFonts w:ascii="Arial" w:cs="Arial" w:eastAsia="Arial" w:hAnsi="Arial"/>
                <w:sz w:val="13"/>
                <w:szCs w:val="13"/>
                <w:color w:val="auto"/>
              </w:rPr>
              <w:t>(State)</w:t>
            </w:r>
          </w:p>
        </w:tc>
        <w:tc>
          <w:tcPr>
            <w:tcW w:w="158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right="40" w:firstLine="3"/>
        <w:spacing w:after="0" w:line="236"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In addition, the directors and stockholders of SC US (TTGP), Ltd. who exercise voting and investment discretion with respect to the SC GGFII Funds are Messrs. Douglas M. Leone and Michael Abramson. As a result, and by virtue of the relationships described in this footnote, each such person may be deemed to share voting and dispositive power with respect to the shares held by the SC GGFII Funds.</w:t>
      </w:r>
    </w:p>
    <w:p>
      <w:pPr>
        <w:spacing w:after="0" w:line="32" w:lineRule="exact"/>
        <w:rPr>
          <w:rFonts w:ascii="Arial" w:cs="Arial" w:eastAsia="Arial" w:hAnsi="Arial"/>
          <w:sz w:val="13"/>
          <w:szCs w:val="13"/>
          <w:color w:val="008000"/>
        </w:rPr>
      </w:pPr>
    </w:p>
    <w:p>
      <w:pPr>
        <w:ind w:firstLine="3"/>
        <w:spacing w:after="0" w:line="241"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Each of Messrs. Douglas M. Leone and Michael Abramson, SC US (TTGP), Ltd. and SC Global Growth II Management, L.P. disclaims beneficial ownership of the securities held by the SC GGFII Funds except to the extent of their pecuniary interest therein, and the inclusion of these securities in this report shall not be deemed an admission of beneficial ownership of the reported securities for purposes of Section 16 or for any other purposes.</w:t>
      </w:r>
    </w:p>
    <w:p>
      <w:pPr>
        <w:spacing w:after="0" w:line="30" w:lineRule="exact"/>
        <w:rPr>
          <w:rFonts w:ascii="Arial" w:cs="Arial" w:eastAsia="Arial" w:hAnsi="Arial"/>
          <w:sz w:val="13"/>
          <w:szCs w:val="13"/>
          <w:color w:val="008000"/>
        </w:rPr>
      </w:pPr>
    </w:p>
    <w:p>
      <w:pPr>
        <w:ind w:right="100" w:firstLine="3"/>
        <w:spacing w:after="0" w:line="236"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3"/>
          <w:szCs w:val="13"/>
          <w:color w:val="008000"/>
        </w:rPr>
      </w:pPr>
    </w:p>
    <w:p>
      <w:pPr>
        <w:ind w:right="60" w:firstLine="3"/>
        <w:spacing w:after="0" w:line="238"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1" w:lineRule="exact"/>
        <w:rPr>
          <w:rFonts w:ascii="Arial" w:cs="Arial" w:eastAsia="Arial" w:hAnsi="Arial"/>
          <w:sz w:val="13"/>
          <w:szCs w:val="13"/>
          <w:color w:val="008000"/>
        </w:rPr>
      </w:pPr>
    </w:p>
    <w:p>
      <w:pPr>
        <w:ind w:right="440" w:firstLine="3"/>
        <w:spacing w:after="0" w:line="252"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 rata distribution of Class A Common Stock of the Issuer to partners or members for no consideration and includes subsequent distributions by general partners or managing members to their respective partners or members.</w:t>
      </w:r>
    </w:p>
    <w:p>
      <w:pPr>
        <w:spacing w:after="0" w:line="24" w:lineRule="exact"/>
        <w:rPr>
          <w:rFonts w:ascii="Arial" w:cs="Arial" w:eastAsia="Arial" w:hAnsi="Arial"/>
          <w:sz w:val="13"/>
          <w:szCs w:val="13"/>
          <w:color w:val="008000"/>
        </w:rPr>
      </w:pPr>
    </w:p>
    <w:p>
      <w:pPr>
        <w:ind w:right="240" w:firstLine="3"/>
        <w:spacing w:after="0" w:line="236"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008000"/>
        </w:rPr>
        <w:t>Form 1 of 2. Exhibit 24.1 - Power of Attorney of Douglas Leone Exhibit 24.2 - Power of Attorney of Michael Abramson</w:t>
      </w:r>
    </w:p>
    <w:p>
      <w:pPr>
        <w:sectPr>
          <w:pgSz w:w="11900" w:h="16844" w:orient="portrait"/>
          <w:cols w:equalWidth="0" w:num="1">
            <w:col w:w="11320"/>
          </w:cols>
          <w:pgMar w:left="280" w:top="269" w:right="299" w:bottom="0" w:gutter="0" w:footer="0" w:header="0"/>
        </w:sectPr>
      </w:pPr>
    </w:p>
    <w:p>
      <w:pPr>
        <w:spacing w:after="0" w:line="7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3175</wp:posOffset>
            </wp:positionV>
            <wp:extent cx="1346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attorney for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183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3175</wp:posOffset>
            </wp:positionV>
            <wp:extent cx="1346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Michael Abramson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356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3175</wp:posOffset>
            </wp:positionV>
            <wp:extent cx="1346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285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0</wp:posOffset>
            </wp:positionV>
            <wp:extent cx="13925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0000FF"/>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5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5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5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95" w:lineRule="exact"/>
        <w:rPr>
          <w:sz w:val="20"/>
          <w:szCs w:val="20"/>
          <w:color w:val="auto"/>
        </w:rPr>
      </w:pPr>
    </w:p>
    <w:p>
      <w:pPr>
        <w:sectPr>
          <w:pgSz w:w="11900" w:h="16844" w:orient="portrait"/>
          <w:cols w:equalWidth="0" w:num="2">
            <w:col w:w="9020" w:space="80"/>
            <w:col w:w="2220"/>
          </w:cols>
          <w:pgMar w:left="280" w:top="269" w:right="299" w:bottom="0" w:gutter="0" w:footer="0" w:header="0"/>
          <w:type w:val="continuous"/>
        </w:sectPr>
      </w:pPr>
    </w:p>
    <w:p>
      <w:pPr>
        <w:ind w:left="6820"/>
        <w:spacing w:after="0"/>
        <w:rPr>
          <w:sz w:val="20"/>
          <w:szCs w:val="20"/>
          <w:color w:val="auto"/>
        </w:rPr>
      </w:pPr>
      <w:r>
        <w:rPr>
          <w:rFonts w:ascii="Arial" w:cs="Arial" w:eastAsia="Arial" w:hAnsi="Arial"/>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346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85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Director of SC US (TTGP), Ltd., 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0</wp:posOffset>
            </wp:positionV>
            <wp:extent cx="1938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the general partner of SC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98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Growth II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34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346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85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419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ind w:left="6820"/>
        <w:spacing w:after="0" w:line="183" w:lineRule="auto"/>
        <w:rPr>
          <w:sz w:val="20"/>
          <w:szCs w:val="20"/>
          <w:color w:val="auto"/>
        </w:rPr>
      </w:pPr>
      <w:r>
        <w:rPr>
          <w:rFonts w:ascii="Arial" w:cs="Arial" w:eastAsia="Arial" w:hAnsi="Arial"/>
          <w:sz w:val="14"/>
          <w:szCs w:val="14"/>
          <w:color w:val="0000FF"/>
        </w:rPr>
        <w:t xml:space="preserve">the general partner of SC Global </w:t>
      </w:r>
      <w:r>
        <w:rPr>
          <w:rFonts w:ascii="Arial" w:cs="Arial" w:eastAsia="Arial" w:hAnsi="Arial"/>
          <w:sz w:val="26"/>
          <w:szCs w:val="26"/>
          <w:color w:val="0000FF"/>
          <w:vertAlign w:val="subscript"/>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-27305</wp:posOffset>
            </wp:positionV>
            <wp:extent cx="1398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Growth II Management,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-19685</wp:posOffset>
            </wp:positionV>
            <wp:extent cx="1419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419225" cy="8255"/>
                    </a:xfrm>
                    <a:prstGeom prst="rect">
                      <a:avLst/>
                    </a:prstGeom>
                    <a:noFill/>
                  </pic:spPr>
                </pic:pic>
              </a:graphicData>
            </a:graphic>
          </wp:anchor>
        </w:drawing>
        <w:drawing>
          <wp:anchor simplePos="0" relativeHeight="251657728" behindDoc="1" locked="0" layoutInCell="0" allowOverlap="1">
            <wp:simplePos x="0" y="0"/>
            <wp:positionH relativeFrom="column">
              <wp:posOffset>5783580</wp:posOffset>
            </wp:positionH>
            <wp:positionV relativeFrom="paragraph">
              <wp:posOffset>-85725</wp:posOffset>
            </wp:positionV>
            <wp:extent cx="485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136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Capital Global Growth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569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670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38"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7"/>
          <w:szCs w:val="17"/>
          <w:color w:val="0000FF"/>
        </w:rPr>
        <w:t>/s/ Jung Yeon Son, by power of</w:t>
      </w:r>
      <w:r>
        <w:rPr>
          <w:sz w:val="20"/>
          <w:szCs w:val="20"/>
          <w:color w:val="auto"/>
        </w:rPr>
        <w:tab/>
      </w:r>
      <w:r>
        <w:rPr>
          <w:rFonts w:ascii="Arial" w:cs="Arial" w:eastAsia="Arial" w:hAnsi="Arial"/>
          <w:sz w:val="15"/>
          <w:szCs w:val="15"/>
          <w:color w:val="0000FF"/>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9386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85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419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the general partner of SC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98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ectPr>
          <w:pgSz w:w="11900" w:h="16844" w:orient="portrait"/>
          <w:cols w:equalWidth="0" w:num="1">
            <w:col w:w="11320"/>
          </w:cols>
          <w:pgMar w:left="280" w:top="269" w:right="299" w:bottom="0" w:gutter="0" w:footer="0" w:header="0"/>
          <w:type w:val="continuous"/>
        </w:sectPr>
      </w:pPr>
    </w:p>
    <w:bookmarkStart w:id="4" w:name="page5"/>
    <w:bookmarkEnd w:id="4"/>
    <w:p>
      <w:pPr>
        <w:ind w:left="6820"/>
        <w:spacing w:after="0"/>
        <w:rPr>
          <w:sz w:val="20"/>
          <w:szCs w:val="20"/>
          <w:color w:val="auto"/>
        </w:rPr>
      </w:pPr>
      <w:r>
        <w:rPr>
          <w:rFonts w:ascii="Arial" w:cs="Arial" w:eastAsia="Arial" w:hAnsi="Arial"/>
          <w:sz w:val="17"/>
          <w:szCs w:val="17"/>
          <w:color w:val="0000FF"/>
        </w:rPr>
        <w:t>Growth II Management,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419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136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Capital Global Growth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0820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Principals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897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346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85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Director of SC US (TTGP), Ltd., 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9386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the general partner of SCGF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208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7810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346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85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419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ind w:left="6820"/>
        <w:spacing w:after="0"/>
        <w:tabs>
          <w:tab w:leader="none" w:pos="9080" w:val="left"/>
        </w:tabs>
        <w:rPr>
          <w:sz w:val="20"/>
          <w:szCs w:val="20"/>
          <w:color w:val="auto"/>
        </w:rPr>
      </w:pPr>
      <w:r>
        <w:rPr>
          <w:rFonts w:ascii="Arial" w:cs="Arial" w:eastAsia="Arial" w:hAnsi="Arial"/>
          <w:sz w:val="17"/>
          <w:szCs w:val="17"/>
          <w:color w:val="0000FF"/>
        </w:rPr>
        <w:t>the general partner of SCGF V</w:t>
      </w:r>
      <w:r>
        <w:rPr>
          <w:sz w:val="20"/>
          <w:szCs w:val="20"/>
          <w:color w:val="auto"/>
        </w:rPr>
        <w:tab/>
      </w:r>
      <w:r>
        <w:rPr>
          <w:rFonts w:ascii="Arial" w:cs="Arial" w:eastAsia="Arial" w:hAnsi="Arial"/>
          <w:sz w:val="15"/>
          <w:szCs w:val="15"/>
          <w:color w:val="0000FF"/>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9386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08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partner of Sequoia Capital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4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Growth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8451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346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852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Director of SC US (TTGP), Ltd., 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9386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96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Growth VII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119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346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85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419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ind w:left="6820"/>
        <w:spacing w:after="0" w:line="207" w:lineRule="auto"/>
        <w:tabs>
          <w:tab w:leader="none" w:pos="9080" w:val="left"/>
        </w:tabs>
        <w:rPr>
          <w:sz w:val="20"/>
          <w:szCs w:val="20"/>
          <w:color w:val="auto"/>
        </w:rPr>
      </w:pPr>
      <w:r>
        <w:rPr>
          <w:rFonts w:ascii="Arial" w:cs="Arial" w:eastAsia="Arial" w:hAnsi="Arial"/>
          <w:sz w:val="17"/>
          <w:szCs w:val="17"/>
          <w:color w:val="0000FF"/>
        </w:rPr>
        <w:t>the general partner of SC U.S.</w:t>
      </w:r>
      <w:r>
        <w:rPr>
          <w:sz w:val="20"/>
          <w:szCs w:val="20"/>
          <w:color w:val="auto"/>
        </w:rPr>
        <w:tab/>
      </w:r>
      <w:r>
        <w:rPr>
          <w:rFonts w:ascii="Arial" w:cs="Arial" w:eastAsia="Arial" w:hAnsi="Arial"/>
          <w:sz w:val="23"/>
          <w:szCs w:val="23"/>
          <w:color w:val="0000FF"/>
          <w:vertAlign w:val="subscript"/>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-27305</wp:posOffset>
            </wp:positionV>
            <wp:extent cx="1296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Growth VII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-19685</wp:posOffset>
            </wp:positionV>
            <wp:extent cx="133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33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5783580</wp:posOffset>
            </wp:positionH>
            <wp:positionV relativeFrom="paragraph">
              <wp:posOffset>-85725</wp:posOffset>
            </wp:positionV>
            <wp:extent cx="4851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934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Capital U.S. Growth Fund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328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403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40335" cy="8255"/>
                    </a:xfrm>
                    <a:prstGeom prst="rect">
                      <a:avLst/>
                    </a:prstGeom>
                    <a:noFill/>
                  </pic:spPr>
                </pic:pic>
              </a:graphicData>
            </a:graphic>
          </wp:anchor>
        </w:drawing>
      </w:r>
    </w:p>
    <w:p>
      <w:pPr>
        <w:spacing w:after="0" w:line="46"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67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31" w:right="1440" w:bottom="1440"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7"/>
          <w:szCs w:val="17"/>
          <w:color w:val="auto"/>
        </w:rPr>
        <w:t>LIMITED POWER OF ATTORNEY</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FOR CERTAIN FILINGS WITH THE</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9" w:lineRule="exact"/>
        <w:rPr>
          <w:sz w:val="20"/>
          <w:szCs w:val="20"/>
          <w:color w:val="auto"/>
        </w:rPr>
      </w:pPr>
    </w:p>
    <w:p>
      <w:pPr>
        <w:jc w:val="both"/>
        <w:ind w:right="2499" w:firstLine="609"/>
        <w:spacing w:after="0" w:line="24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Marie Klemchuk and Jung Yeon Son the undersigned's true and lawful attorney-in-fact to:</w:t>
      </w:r>
    </w:p>
    <w:p>
      <w:pPr>
        <w:spacing w:after="0" w:line="198" w:lineRule="exact"/>
        <w:rPr>
          <w:sz w:val="20"/>
          <w:szCs w:val="20"/>
          <w:color w:val="auto"/>
        </w:rPr>
      </w:pPr>
    </w:p>
    <w:p>
      <w:pPr>
        <w:ind w:left="1220" w:right="2199" w:hanging="607"/>
        <w:spacing w:after="0" w:line="242" w:lineRule="auto"/>
        <w:tabs>
          <w:tab w:leader="none" w:pos="1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stockholder of any entity affiliated with Sequoia Capital Operations, LLC or any corporation or other person in which an investment fund affiliated with Sequoia Capital Operations, LLC makes an investment (each, a "Company"), Forms 3, 4, and 5 and amendments thereto in accordance with Section 16(a) of the Securities Exchange Act of 1934, as amended (the "1934 Act"), and the rules thereunder, as well as any reports on Schedules 13D or 13G or Forms 13F or 13H and amendments thereto in each case in accordance with Section 13 of the 1934 Act and the rules thereunder or any Forms 144 in accordance with Rule 144 under the Securities Act of 1933, as amended (the "1933 Act");</w:t>
      </w:r>
    </w:p>
    <w:p>
      <w:pPr>
        <w:spacing w:after="0" w:line="206" w:lineRule="exact"/>
        <w:rPr>
          <w:rFonts w:ascii="Courier New" w:cs="Courier New" w:eastAsia="Courier New" w:hAnsi="Courier New"/>
          <w:sz w:val="17"/>
          <w:szCs w:val="17"/>
          <w:color w:val="auto"/>
        </w:rPr>
      </w:pPr>
    </w:p>
    <w:p>
      <w:pPr>
        <w:ind w:left="1220" w:right="2099" w:hanging="607"/>
        <w:spacing w:after="0" w:line="242" w:lineRule="auto"/>
        <w:tabs>
          <w:tab w:leader="none" w:pos="1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Form 13F, Form 13H or Form 144 or amendment thereto and timely file such form with the United States Securities and Exchange Commission (the "SEC") and any stock exchange or similar authority; and</w:t>
      </w:r>
    </w:p>
    <w:p>
      <w:pPr>
        <w:spacing w:after="0" w:line="200" w:lineRule="exact"/>
        <w:rPr>
          <w:rFonts w:ascii="Courier New" w:cs="Courier New" w:eastAsia="Courier New" w:hAnsi="Courier New"/>
          <w:sz w:val="17"/>
          <w:szCs w:val="17"/>
          <w:color w:val="auto"/>
        </w:rPr>
      </w:pPr>
    </w:p>
    <w:p>
      <w:pPr>
        <w:ind w:left="1220" w:right="2299" w:hanging="607"/>
        <w:spacing w:after="0" w:line="242" w:lineRule="auto"/>
        <w:tabs>
          <w:tab w:leader="none" w:pos="1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which, in the opinion of such attorney-in-fact, may be necessary or desirable in connection with the foregoing authority, it being understood that the documents executed by such attorney-in-fact on behalf of the undersigned pursuant to this Limited Power of Attorney shall be in such form and shall contain such terms and conditions as such attorney-in-fact may approve.</w:t>
      </w:r>
    </w:p>
    <w:p>
      <w:pPr>
        <w:spacing w:after="0" w:line="202" w:lineRule="exact"/>
        <w:rPr>
          <w:sz w:val="20"/>
          <w:szCs w:val="20"/>
          <w:color w:val="auto"/>
        </w:rPr>
      </w:pPr>
    </w:p>
    <w:p>
      <w:pPr>
        <w:ind w:right="2099" w:firstLine="609"/>
        <w:spacing w:after="0" w:line="24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any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13 or Section 16 of the 1934 Act or Rule 144 under the 1933 Act.</w:t>
      </w:r>
    </w:p>
    <w:p>
      <w:pPr>
        <w:spacing w:after="0" w:line="207" w:lineRule="exact"/>
        <w:rPr>
          <w:sz w:val="20"/>
          <w:szCs w:val="20"/>
          <w:color w:val="auto"/>
        </w:rPr>
      </w:pPr>
    </w:p>
    <w:p>
      <w:pPr>
        <w:ind w:right="2099" w:firstLine="609"/>
        <w:spacing w:after="0" w:line="24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revoked by the undersigned in a signed writing delivered to the foregoing attorneys-in-fact. This Limited Power of Attorney may be filed with the SEC as a confirming statement of the authority granted herein.</w:t>
      </w:r>
    </w:p>
    <w:p>
      <w:pPr>
        <w:spacing w:after="0" w:line="197"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3319"/>
        <w:spacing w:after="0"/>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December 10, 2019.</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Douglas Leone</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Douglas Leone</w:t>
      </w:r>
    </w:p>
    <w:p>
      <w:pPr>
        <w:sectPr>
          <w:pgSz w:w="11900" w:h="16838" w:orient="portrait"/>
          <w:cols w:equalWidth="0" w:num="1">
            <w:col w:w="10219"/>
          </w:cols>
          <w:pgMar w:left="240" w:top="140" w:right="1440" w:bottom="1440" w:gutter="0" w:footer="0" w:header="0"/>
        </w:sectPr>
      </w:pPr>
    </w:p>
    <w:bookmarkStart w:id="6" w:name="page7"/>
    <w:bookmarkEnd w:id="6"/>
    <w:p>
      <w:pPr>
        <w:ind w:left="2740"/>
        <w:spacing w:after="0"/>
        <w:rPr>
          <w:sz w:val="20"/>
          <w:szCs w:val="20"/>
          <w:color w:val="auto"/>
        </w:rPr>
      </w:pPr>
      <w:r>
        <w:rPr>
          <w:rFonts w:ascii="Courier New" w:cs="Courier New" w:eastAsia="Courier New" w:hAnsi="Courier New"/>
          <w:sz w:val="17"/>
          <w:szCs w:val="17"/>
          <w:color w:val="auto"/>
        </w:rPr>
        <w:t>LIMITED POWER OF ATTORNEY</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FOR CERTAIN FILINGS WITH THE</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9" w:lineRule="exact"/>
        <w:rPr>
          <w:sz w:val="20"/>
          <w:szCs w:val="20"/>
          <w:color w:val="auto"/>
        </w:rPr>
      </w:pPr>
    </w:p>
    <w:p>
      <w:pPr>
        <w:jc w:val="both"/>
        <w:ind w:right="2399" w:firstLine="710"/>
        <w:spacing w:after="0" w:line="24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Marie Klemchuk and Jung Yeon Son the undersigned's true and lawful attorney-in-fact to:</w:t>
      </w:r>
    </w:p>
    <w:p>
      <w:pPr>
        <w:spacing w:after="0" w:line="198" w:lineRule="exact"/>
        <w:rPr>
          <w:sz w:val="20"/>
          <w:szCs w:val="20"/>
          <w:color w:val="auto"/>
        </w:rPr>
      </w:pPr>
    </w:p>
    <w:p>
      <w:pPr>
        <w:ind w:left="1120" w:right="2099" w:hanging="406"/>
        <w:spacing w:after="0" w:line="242" w:lineRule="auto"/>
        <w:tabs>
          <w:tab w:leader="none" w:pos="11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stockholder of any entity affiliated with Sequoia Capital Operations, LLC or any corporation or other person in which an investment fund affiliated with Sequoia Capital Operations, LLC makes an investment (each, a "Company"), Forms 3, 4, and 5 and amendments thereto in accordance with Section 16(a) of the Securities Exchange Act of 1934, as amended (the "1934 Act"), and the rules thereunder, as well as any reports on Schedules 13D or 13G or Forms 13F or 13 H and amendments thereto in each case in accordance with Section 13 of the 1934 Act and the rules thereunder or any Forms 144 in accordance with Rule 144 under the Securities Act of 1933, as amended (the "1933 Act");</w:t>
      </w:r>
    </w:p>
    <w:p>
      <w:pPr>
        <w:spacing w:after="0" w:line="206" w:lineRule="exact"/>
        <w:rPr>
          <w:rFonts w:ascii="Courier New" w:cs="Courier New" w:eastAsia="Courier New" w:hAnsi="Courier New"/>
          <w:sz w:val="17"/>
          <w:szCs w:val="17"/>
          <w:color w:val="auto"/>
        </w:rPr>
      </w:pPr>
    </w:p>
    <w:p>
      <w:pPr>
        <w:ind w:left="1120" w:right="2199" w:hanging="406"/>
        <w:spacing w:after="0" w:line="242" w:lineRule="auto"/>
        <w:tabs>
          <w:tab w:leader="none" w:pos="11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Form 13F, Form 13H or Form 144 or amendment thereto and timely file such form with the United States Securities and Exchange Commission (the "SEC") and any stock exchange or similar authority; and</w:t>
      </w:r>
    </w:p>
    <w:p>
      <w:pPr>
        <w:spacing w:after="0" w:line="200" w:lineRule="exact"/>
        <w:rPr>
          <w:rFonts w:ascii="Courier New" w:cs="Courier New" w:eastAsia="Courier New" w:hAnsi="Courier New"/>
          <w:sz w:val="17"/>
          <w:szCs w:val="17"/>
          <w:color w:val="auto"/>
        </w:rPr>
      </w:pPr>
    </w:p>
    <w:p>
      <w:pPr>
        <w:ind w:left="1120" w:right="2099" w:hanging="406"/>
        <w:spacing w:after="0" w:line="242" w:lineRule="auto"/>
        <w:tabs>
          <w:tab w:leader="none" w:pos="11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which, in the opinion of such attorney-in-fact, may be necessary or desirable in connection with the foregoing authority, it being understood that the documents executed by such attorney-in-fact on behalf of the undersigned pursuant to this Limited Power of Attorney shall be in such form and shall contain such terms and conditions as such attorney-in-fact may approve.</w:t>
      </w:r>
    </w:p>
    <w:p>
      <w:pPr>
        <w:spacing w:after="0" w:line="202" w:lineRule="exact"/>
        <w:rPr>
          <w:sz w:val="20"/>
          <w:szCs w:val="20"/>
          <w:color w:val="auto"/>
        </w:rPr>
      </w:pPr>
    </w:p>
    <w:p>
      <w:pPr>
        <w:ind w:right="2099" w:firstLine="710"/>
        <w:spacing w:after="0" w:line="24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any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13 or Section 16 of the 1934 Act or Rule 144 under the 1933 Act.</w:t>
      </w:r>
    </w:p>
    <w:p>
      <w:pPr>
        <w:spacing w:after="0" w:line="207" w:lineRule="exact"/>
        <w:rPr>
          <w:sz w:val="20"/>
          <w:szCs w:val="20"/>
          <w:color w:val="auto"/>
        </w:rPr>
      </w:pPr>
    </w:p>
    <w:p>
      <w:pPr>
        <w:ind w:right="2099" w:firstLine="710"/>
        <w:spacing w:after="0" w:line="24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revoked by the undersigned in a signed writing delivered to the foregoing attorneys-in-fact. This Limited Power of Attorney may be filed with the SEC as a confirming statement of the authority granted herein.</w:t>
      </w:r>
    </w:p>
    <w:p>
      <w:pPr>
        <w:spacing w:after="0" w:line="197"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3319"/>
        <w:spacing w:after="0"/>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December 10, 2019.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Michael Abramson</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Michael Abramson</w:t>
      </w:r>
    </w:p>
    <w:sectPr>
      <w:pgSz w:w="11900" w:h="16838" w:orient="portrait"/>
      <w:cols w:equalWidth="0" w:num="1">
        <w:col w:w="10219"/>
      </w:cols>
      <w:pgMar w:left="240" w:top="3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24"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12" Type="http://schemas.openxmlformats.org/officeDocument/2006/relationships/hyperlink" Target="http://www.sec.gov/cgi-bin/browse-edgar?action=getcompany&amp;CIK=0001607841" TargetMode="External"/><Relationship Id="rId13" Type="http://schemas.openxmlformats.org/officeDocument/2006/relationships/hyperlink" Target="http://www.sec.gov/cgi-bin/browse-edgar?action=getcompany&amp;CIK=0001585521" TargetMode="External"/><Relationship Id="rId16" Type="http://schemas.openxmlformats.org/officeDocument/2006/relationships/hyperlink" Target="http://www.sec.gov/cgi-bin/browse-edgar?action=getcompany&amp;CIK=0001195580" TargetMode="External"/><Relationship Id="rId17" Type="http://schemas.openxmlformats.org/officeDocument/2006/relationships/hyperlink" Target="http://www.sec.gov/cgi-bin/browse-edgar?action=getcompany&amp;CIK=0001766513" TargetMode="External"/><Relationship Id="rId19" Type="http://schemas.openxmlformats.org/officeDocument/2006/relationships/hyperlink" Target="http://www.sec.gov/cgi-bin/browse-edgar?action=getcompany&amp;CIK=0001743989" TargetMode="External"/><Relationship Id="rId20" Type="http://schemas.openxmlformats.org/officeDocument/2006/relationships/hyperlink" Target="http://www.sec.gov/cgi-bin/browse-edgar?action=getcompany&amp;CIK=0001656515" TargetMode="External"/><Relationship Id="rId21" Type="http://schemas.openxmlformats.org/officeDocument/2006/relationships/hyperlink" Target="http://www.sec.gov/cgi-bin/browse-edgar?action=getcompany&amp;CIK=0001656516" TargetMode="External"/><Relationship Id="rId22" Type="http://schemas.openxmlformats.org/officeDocument/2006/relationships/hyperlink" Target="http://www.sec.gov/cgi-bin/browse-edgar?action=getcompany&amp;CIK=0001552459" TargetMode="External"/><Relationship Id="rId23" Type="http://schemas.openxmlformats.org/officeDocument/2006/relationships/hyperlink" Target="http://www.sec.gov/cgi-bin/browse-edgar?action=getcompany&amp;CIK=0001528109" TargetMode="External"/><Relationship Id="rId25" Type="http://schemas.openxmlformats.org/officeDocument/2006/relationships/hyperlink" Target="http://www.sec.gov/cgi-bin/browse-edgar?action=getcompany&amp;CIK=0001742978" TargetMode="External"/><Relationship Id="rId26" Type="http://schemas.openxmlformats.org/officeDocument/2006/relationships/hyperlink" Target="http://www.sec.gov/cgi-bin/browse-edgar?action=getcompany&amp;CIK=00016565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2019-12-11T18:37:45Z</dcterms:created>
  <dcterms:modified xsi:type="dcterms:W3CDTF">2019-12-11T18:37:45Z</dcterms:modified>
</cp:coreProperties>
</file>