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63779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7794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6377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77940" cy="8255"/>
                    </a:xfrm>
                    <a:prstGeom prst="rect">
                      <a:avLst/>
                    </a:prstGeom>
                    <a:noFill/>
                  </pic:spPr>
                </pic:pic>
              </a:graphicData>
            </a:graphic>
          </wp:anchor>
        </w:drawing>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7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1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May 29, 2020</w:t>
      </w:r>
    </w:p>
    <w:p>
      <w:pPr>
        <w:spacing w:after="0" w:line="27"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72"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Zoom Video Communications, Inc.</w:t>
      </w:r>
    </w:p>
    <w:p>
      <w:pPr>
        <w:spacing w:after="0" w:line="13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33" w:lineRule="exact"/>
        <w:rPr>
          <w:sz w:val="24"/>
          <w:szCs w:val="24"/>
          <w:color w:val="auto"/>
        </w:rPr>
      </w:pPr>
    </w:p>
    <w:tbl>
      <w:tblPr>
        <w:tblLayout w:type="fixed"/>
        <w:tblInd w:w="100" w:type="dxa"/>
        <w:tblCellMar>
          <w:top w:w="0" w:type="dxa"/>
          <w:left w:w="0" w:type="dxa"/>
          <w:bottom w:w="0" w:type="dxa"/>
          <w:right w:w="0" w:type="dxa"/>
        </w:tblCellMar>
      </w:tblPr>
      <w:tr>
        <w:trPr>
          <w:trHeight w:val="256"/>
        </w:trPr>
        <w:tc>
          <w:tcPr>
            <w:tcW w:w="3620" w:type="dxa"/>
            <w:vAlign w:val="bottom"/>
          </w:tcPr>
          <w:p>
            <w:pPr>
              <w:jc w:val="center"/>
              <w:ind w:right="372"/>
              <w:spacing w:after="0"/>
              <w:rPr>
                <w:sz w:val="20"/>
                <w:szCs w:val="20"/>
                <w:color w:val="auto"/>
              </w:rPr>
            </w:pPr>
            <w:r>
              <w:rPr>
                <w:rFonts w:ascii="Arial" w:cs="Arial" w:eastAsia="Arial" w:hAnsi="Arial"/>
                <w:sz w:val="20"/>
                <w:szCs w:val="20"/>
                <w:b w:val="1"/>
                <w:bCs w:val="1"/>
                <w:color w:val="auto"/>
                <w:w w:val="91"/>
              </w:rPr>
              <w:t>Delaware</w:t>
            </w:r>
          </w:p>
        </w:tc>
        <w:tc>
          <w:tcPr>
            <w:tcW w:w="2880" w:type="dxa"/>
            <w:vAlign w:val="bottom"/>
          </w:tcPr>
          <w:p>
            <w:pPr>
              <w:jc w:val="right"/>
              <w:ind w:right="1055"/>
              <w:spacing w:after="0"/>
              <w:rPr>
                <w:sz w:val="20"/>
                <w:szCs w:val="20"/>
                <w:color w:val="auto"/>
              </w:rPr>
            </w:pPr>
            <w:r>
              <w:rPr>
                <w:rFonts w:ascii="Arial" w:cs="Arial" w:eastAsia="Arial" w:hAnsi="Arial"/>
                <w:sz w:val="20"/>
                <w:szCs w:val="20"/>
                <w:b w:val="1"/>
                <w:bCs w:val="1"/>
                <w:color w:val="auto"/>
              </w:rPr>
              <w:t>001-38865</w:t>
            </w:r>
          </w:p>
        </w:tc>
        <w:tc>
          <w:tcPr>
            <w:tcW w:w="2800" w:type="dxa"/>
            <w:vAlign w:val="bottom"/>
          </w:tcPr>
          <w:p>
            <w:pPr>
              <w:jc w:val="right"/>
              <w:ind w:right="475"/>
              <w:spacing w:after="0"/>
              <w:rPr>
                <w:sz w:val="20"/>
                <w:szCs w:val="20"/>
                <w:color w:val="auto"/>
              </w:rPr>
            </w:pPr>
            <w:r>
              <w:rPr>
                <w:rFonts w:ascii="Arial" w:cs="Arial" w:eastAsia="Arial" w:hAnsi="Arial"/>
                <w:sz w:val="20"/>
                <w:szCs w:val="20"/>
                <w:b w:val="1"/>
                <w:bCs w:val="1"/>
                <w:color w:val="auto"/>
              </w:rPr>
              <w:t>61-1648780</w:t>
            </w:r>
          </w:p>
        </w:tc>
        <w:tc>
          <w:tcPr>
            <w:tcW w:w="0" w:type="dxa"/>
            <w:vAlign w:val="bottom"/>
          </w:tcPr>
          <w:p>
            <w:pPr>
              <w:spacing w:after="0"/>
              <w:rPr>
                <w:sz w:val="1"/>
                <w:szCs w:val="1"/>
                <w:color w:val="auto"/>
              </w:rPr>
            </w:pPr>
          </w:p>
        </w:tc>
      </w:tr>
      <w:tr>
        <w:trPr>
          <w:trHeight w:val="294"/>
        </w:trPr>
        <w:tc>
          <w:tcPr>
            <w:tcW w:w="3620" w:type="dxa"/>
            <w:vAlign w:val="bottom"/>
          </w:tcPr>
          <w:p>
            <w:pPr>
              <w:jc w:val="center"/>
              <w:ind w:right="372"/>
              <w:spacing w:after="0"/>
              <w:rPr>
                <w:sz w:val="20"/>
                <w:szCs w:val="20"/>
                <w:color w:val="auto"/>
              </w:rPr>
            </w:pPr>
            <w:r>
              <w:rPr>
                <w:rFonts w:ascii="Arial" w:cs="Arial" w:eastAsia="Arial" w:hAnsi="Arial"/>
                <w:sz w:val="14"/>
                <w:szCs w:val="14"/>
                <w:b w:val="1"/>
                <w:bCs w:val="1"/>
                <w:color w:val="auto"/>
                <w:w w:val="94"/>
              </w:rPr>
              <w:t>(State or Other Jurisdictionof Incorporation)</w:t>
            </w:r>
          </w:p>
        </w:tc>
        <w:tc>
          <w:tcPr>
            <w:tcW w:w="2880" w:type="dxa"/>
            <w:vAlign w:val="bottom"/>
          </w:tcPr>
          <w:p>
            <w:pPr>
              <w:jc w:val="center"/>
              <w:ind w:right="175"/>
              <w:spacing w:after="0"/>
              <w:rPr>
                <w:sz w:val="20"/>
                <w:szCs w:val="20"/>
                <w:color w:val="auto"/>
              </w:rPr>
            </w:pPr>
            <w:r>
              <w:rPr>
                <w:rFonts w:ascii="Arial" w:cs="Arial" w:eastAsia="Arial" w:hAnsi="Arial"/>
                <w:sz w:val="14"/>
                <w:szCs w:val="14"/>
                <w:b w:val="1"/>
                <w:bCs w:val="1"/>
                <w:color w:val="auto"/>
                <w:w w:val="93"/>
              </w:rPr>
              <w:t>(Commission File Number)</w:t>
            </w:r>
          </w:p>
        </w:tc>
        <w:tc>
          <w:tcPr>
            <w:tcW w:w="2800" w:type="dxa"/>
            <w:vAlign w:val="bottom"/>
          </w:tcPr>
          <w:p>
            <w:pPr>
              <w:jc w:val="center"/>
              <w:ind w:left="655"/>
              <w:spacing w:after="0"/>
              <w:rPr>
                <w:sz w:val="20"/>
                <w:szCs w:val="20"/>
                <w:color w:val="auto"/>
              </w:rPr>
            </w:pPr>
            <w:r>
              <w:rPr>
                <w:rFonts w:ascii="Arial" w:cs="Arial" w:eastAsia="Arial" w:hAnsi="Arial"/>
                <w:sz w:val="14"/>
                <w:szCs w:val="14"/>
                <w:b w:val="1"/>
                <w:bCs w:val="1"/>
                <w:color w:val="auto"/>
                <w:w w:val="96"/>
              </w:rPr>
              <w:t>(IRS EmployerIdentification No.)</w:t>
            </w:r>
          </w:p>
        </w:tc>
        <w:tc>
          <w:tcPr>
            <w:tcW w:w="0" w:type="dxa"/>
            <w:vAlign w:val="bottom"/>
          </w:tcPr>
          <w:p>
            <w:pPr>
              <w:spacing w:after="0"/>
              <w:rPr>
                <w:sz w:val="1"/>
                <w:szCs w:val="1"/>
                <w:color w:val="auto"/>
              </w:rPr>
            </w:pPr>
          </w:p>
        </w:tc>
      </w:tr>
      <w:tr>
        <w:trPr>
          <w:trHeight w:val="431"/>
        </w:trPr>
        <w:tc>
          <w:tcPr>
            <w:tcW w:w="3620" w:type="dxa"/>
            <w:vAlign w:val="bottom"/>
          </w:tcPr>
          <w:p>
            <w:pPr>
              <w:jc w:val="center"/>
              <w:ind w:right="372"/>
              <w:spacing w:after="0"/>
              <w:rPr>
                <w:sz w:val="20"/>
                <w:szCs w:val="20"/>
                <w:color w:val="auto"/>
              </w:rPr>
            </w:pPr>
            <w:r>
              <w:rPr>
                <w:rFonts w:ascii="Arial" w:cs="Arial" w:eastAsia="Arial" w:hAnsi="Arial"/>
                <w:sz w:val="20"/>
                <w:szCs w:val="20"/>
                <w:b w:val="1"/>
                <w:bCs w:val="1"/>
                <w:color w:val="auto"/>
                <w:w w:val="90"/>
              </w:rPr>
              <w:t>55 Almaden Boulevard, 6th FloorSan</w:t>
            </w:r>
          </w:p>
        </w:tc>
        <w:tc>
          <w:tcPr>
            <w:tcW w:w="2880" w:type="dxa"/>
            <w:vAlign w:val="bottom"/>
          </w:tcPr>
          <w:p>
            <w:pPr>
              <w:spacing w:after="0"/>
              <w:rPr>
                <w:sz w:val="24"/>
                <w:szCs w:val="24"/>
                <w:color w:val="auto"/>
              </w:rPr>
            </w:pPr>
          </w:p>
        </w:tc>
        <w:tc>
          <w:tcPr>
            <w:tcW w:w="2800" w:type="dxa"/>
            <w:vAlign w:val="bottom"/>
            <w:vMerge w:val="restart"/>
          </w:tcPr>
          <w:p>
            <w:pPr>
              <w:jc w:val="right"/>
              <w:ind w:right="695"/>
              <w:spacing w:after="0"/>
              <w:rPr>
                <w:sz w:val="20"/>
                <w:szCs w:val="20"/>
                <w:color w:val="auto"/>
              </w:rPr>
            </w:pPr>
            <w:r>
              <w:rPr>
                <w:rFonts w:ascii="Arial" w:cs="Arial" w:eastAsia="Arial" w:hAnsi="Arial"/>
                <w:sz w:val="20"/>
                <w:szCs w:val="20"/>
                <w:b w:val="1"/>
                <w:bCs w:val="1"/>
                <w:color w:val="auto"/>
              </w:rPr>
              <w:t>95113</w:t>
            </w:r>
          </w:p>
        </w:tc>
        <w:tc>
          <w:tcPr>
            <w:tcW w:w="0" w:type="dxa"/>
            <w:vAlign w:val="bottom"/>
          </w:tcPr>
          <w:p>
            <w:pPr>
              <w:spacing w:after="0"/>
              <w:rPr>
                <w:sz w:val="1"/>
                <w:szCs w:val="1"/>
                <w:color w:val="auto"/>
              </w:rPr>
            </w:pPr>
          </w:p>
        </w:tc>
      </w:tr>
      <w:tr>
        <w:trPr>
          <w:trHeight w:val="256"/>
        </w:trPr>
        <w:tc>
          <w:tcPr>
            <w:tcW w:w="3620" w:type="dxa"/>
            <w:vAlign w:val="bottom"/>
          </w:tcPr>
          <w:p>
            <w:pPr>
              <w:jc w:val="center"/>
              <w:ind w:right="372"/>
              <w:spacing w:after="0"/>
              <w:rPr>
                <w:sz w:val="20"/>
                <w:szCs w:val="20"/>
                <w:color w:val="auto"/>
              </w:rPr>
            </w:pPr>
            <w:r>
              <w:rPr>
                <w:rFonts w:ascii="Arial" w:cs="Arial" w:eastAsia="Arial" w:hAnsi="Arial"/>
                <w:sz w:val="20"/>
                <w:szCs w:val="20"/>
                <w:b w:val="1"/>
                <w:bCs w:val="1"/>
                <w:color w:val="auto"/>
                <w:w w:val="88"/>
              </w:rPr>
              <w:t>Jose, California</w:t>
            </w:r>
          </w:p>
        </w:tc>
        <w:tc>
          <w:tcPr>
            <w:tcW w:w="2880" w:type="dxa"/>
            <w:vAlign w:val="bottom"/>
          </w:tcPr>
          <w:p>
            <w:pPr>
              <w:spacing w:after="0"/>
              <w:rPr>
                <w:sz w:val="22"/>
                <w:szCs w:val="22"/>
                <w:color w:val="auto"/>
              </w:rPr>
            </w:pPr>
          </w:p>
        </w:tc>
        <w:tc>
          <w:tcPr>
            <w:tcW w:w="2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20" w:type="dxa"/>
            <w:vAlign w:val="bottom"/>
          </w:tcPr>
          <w:p>
            <w:pPr>
              <w:jc w:val="center"/>
              <w:ind w:right="352"/>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880" w:type="dxa"/>
            <w:vAlign w:val="bottom"/>
          </w:tcPr>
          <w:p>
            <w:pPr>
              <w:spacing w:after="0"/>
              <w:rPr>
                <w:sz w:val="17"/>
                <w:szCs w:val="17"/>
                <w:color w:val="auto"/>
              </w:rPr>
            </w:pPr>
          </w:p>
        </w:tc>
        <w:tc>
          <w:tcPr>
            <w:tcW w:w="2800" w:type="dxa"/>
            <w:vAlign w:val="bottom"/>
          </w:tcPr>
          <w:p>
            <w:pPr>
              <w:jc w:val="center"/>
              <w:ind w:left="655"/>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97"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(888) 799-9666</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3"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Not Applicable</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96" w:lineRule="exact"/>
        <w:rPr>
          <w:sz w:val="24"/>
          <w:szCs w:val="24"/>
          <w:color w:val="auto"/>
        </w:rPr>
      </w:pPr>
    </w:p>
    <w:p>
      <w:pPr>
        <w:ind w:right="520"/>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34"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17"/>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Class A Common Stock, $0.001 par value per 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ZM</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The Nasdaq Global Select Market</w:t>
            </w:r>
          </w:p>
        </w:tc>
      </w:tr>
      <w:tr>
        <w:trPr>
          <w:trHeight w:val="33"/>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6377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6377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77940" cy="8890"/>
                    </a:xfrm>
                    <a:prstGeom prst="rect">
                      <a:avLst/>
                    </a:prstGeom>
                    <a:noFill/>
                  </pic:spPr>
                </pic:pic>
              </a:graphicData>
            </a:graphic>
          </wp:anchor>
        </w:drawing>
      </w:r>
    </w:p>
    <w:p>
      <w:pPr>
        <w:sectPr>
          <w:pgSz w:w="11900" w:h="16838" w:orient="portrait"/>
          <w:cols w:equalWidth="0" w:num="1">
            <w:col w:w="11080"/>
          </w:cols>
          <w:pgMar w:left="320" w:top="1205" w:right="499" w:bottom="1440" w:gutter="0" w:footer="0" w:header="0"/>
        </w:sectPr>
      </w:pPr>
    </w:p>
    <w:bookmarkStart w:id="1" w:name="page2"/>
    <w:bookmarkEnd w:id="1"/>
    <w:p>
      <w:pPr>
        <w:ind w:left="1300" w:right="700" w:hanging="1295"/>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58"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On May 29, 2020, the Board of Directors (the “Board”) of Zoom Video Communications, Inc. (the “Company”) approved the appointment of Aparna Bawa, the Company’s then-current Chief Legal Officer, General Counsel and Secretary, as the Company’s Chief Operating Officer.</w:t>
      </w:r>
    </w:p>
    <w:p>
      <w:pPr>
        <w:spacing w:after="0" w:line="151" w:lineRule="exact"/>
        <w:rPr>
          <w:sz w:val="20"/>
          <w:szCs w:val="20"/>
          <w:color w:val="auto"/>
        </w:rPr>
      </w:pPr>
    </w:p>
    <w:p>
      <w:pPr>
        <w:jc w:val="both"/>
        <w:ind w:right="240" w:firstLine="648"/>
        <w:spacing w:after="0" w:line="279" w:lineRule="auto"/>
        <w:rPr>
          <w:sz w:val="20"/>
          <w:szCs w:val="20"/>
          <w:color w:val="auto"/>
        </w:rPr>
      </w:pPr>
      <w:r>
        <w:rPr>
          <w:rFonts w:ascii="Arial" w:cs="Arial" w:eastAsia="Arial" w:hAnsi="Arial"/>
          <w:sz w:val="16"/>
          <w:szCs w:val="16"/>
          <w:color w:val="auto"/>
        </w:rPr>
        <w:t>Ms. Bawa, 42, has served as the Company's Chief Legal Officer from August 2019 to May 2020, its General Counsel from September 2018 to May 2020, and as its Secretary since December 2018. Prior to joining the Company, Ms. Bawa served as Senior Vice President and General Counsel of Magento, Inc., an e-commerce platform company, from June 2017 until its acquisition by Adobe Inc. in June 2018. From November 2012 to May 2017, Ms. Bawa served as Vice President, General Counsel and Secretary of Nimble Storage, Inc., an enterprise flash storage company, which was acquired by Hewlett Packard Enterprise in April 2017. Ms. Bawa holds a B.Sc. in Accounting from Marquette University and a J.D. from Harvard Law School.</w:t>
      </w:r>
    </w:p>
    <w:p>
      <w:pPr>
        <w:spacing w:after="0" w:line="18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Ms. Bawa is not a party to any arrangement or understanding regarding her selection as Chief Operating Officer. Ms. Bawa has no family relationships with any director, executive officer, or person nominated or chosen by the Company to become a director or executive officer of the Company. Ms. Bawa is not a party to any transaction required to be disclosed pursuant to Item 404(a) of Regulation S-K.</w:t>
      </w:r>
    </w:p>
    <w:p>
      <w:pPr>
        <w:sectPr>
          <w:pgSz w:w="11900" w:h="16838" w:orient="portrait"/>
          <w:cols w:equalWidth="0" w:num="1">
            <w:col w:w="11240"/>
          </w:cols>
          <w:pgMar w:left="320" w:top="1116" w:right="3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4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Zoom Video Communications, Inc.</w:t>
      </w:r>
    </w:p>
    <w:p>
      <w:pPr>
        <w:spacing w:after="0" w:line="324" w:lineRule="exact"/>
        <w:rPr>
          <w:sz w:val="20"/>
          <w:szCs w:val="20"/>
          <w:color w:val="auto"/>
        </w:rPr>
      </w:pPr>
    </w:p>
    <w:p>
      <w:pPr>
        <w:ind w:left="20"/>
        <w:spacing w:after="0"/>
        <w:tabs>
          <w:tab w:leader="none" w:pos="4740" w:val="left"/>
          <w:tab w:leader="none" w:pos="5380" w:val="left"/>
        </w:tabs>
        <w:rPr>
          <w:sz w:val="20"/>
          <w:szCs w:val="20"/>
          <w:color w:val="auto"/>
        </w:rPr>
      </w:pPr>
      <w:r>
        <w:rPr>
          <w:rFonts w:ascii="Arial" w:cs="Arial" w:eastAsia="Arial" w:hAnsi="Arial"/>
          <w:sz w:val="18"/>
          <w:szCs w:val="18"/>
          <w:color w:val="auto"/>
        </w:rPr>
        <w:t>Dated: June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31750</wp:posOffset>
            </wp:positionV>
            <wp:extent cx="29749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74975" cy="8255"/>
                    </a:xfrm>
                    <a:prstGeom prst="rect">
                      <a:avLst/>
                    </a:prstGeom>
                    <a:noFill/>
                  </pic:spPr>
                </pic:pic>
              </a:graphicData>
            </a:graphic>
          </wp:anchor>
        </w:drawing>
      </w:r>
    </w:p>
    <w:p>
      <w:pPr>
        <w:spacing w:after="0" w:line="5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Kelly Steckelberg</w:t>
      </w:r>
    </w:p>
    <w:p>
      <w:pPr>
        <w:spacing w:after="0" w:line="6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0940"/>
      </w:cols>
      <w:pgMar w:left="320" w:top="891"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2020-06-04T08:06:59Z</dcterms:created>
  <dcterms:modified xsi:type="dcterms:W3CDTF">2020-06-04T08:06:59Z</dcterms:modified>
</cp:coreProperties>
</file>