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002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202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64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Pelosi Janine</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80"/>
        <w:spacing w:after="0" w:line="396"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SAN JOSE</w:t>
            </w:r>
          </w:p>
        </w:tc>
        <w:tc>
          <w:tcPr>
            <w:tcW w:w="1060" w:type="dxa"/>
            <w:vAlign w:val="bottom"/>
          </w:tcPr>
          <w:p>
            <w:pPr>
              <w:ind w:left="2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6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420" w:type="dxa"/>
            <w:vAlign w:val="bottom"/>
            <w:vMerge w:val="restart"/>
          </w:tcPr>
          <w:p>
            <w:pPr>
              <w:ind w:left="120"/>
              <w:spacing w:after="0" w:line="134"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4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Marketing Officer</w:t>
            </w:r>
          </w:p>
        </w:tc>
        <w:tc>
          <w:tcPr>
            <w:tcW w:w="0" w:type="dxa"/>
            <w:vAlign w:val="bottom"/>
          </w:tcPr>
          <w:p>
            <w:pPr>
              <w:spacing w:after="0"/>
              <w:rPr>
                <w:sz w:val="1"/>
                <w:szCs w:val="1"/>
                <w:color w:val="auto"/>
              </w:rPr>
            </w:pPr>
          </w:p>
        </w:tc>
      </w:tr>
      <w:tr>
        <w:trPr>
          <w:trHeight w:val="221"/>
        </w:trPr>
        <w:tc>
          <w:tcPr>
            <w:tcW w:w="3080" w:type="dxa"/>
            <w:vAlign w:val="bottom"/>
            <w:gridSpan w:val="3"/>
          </w:tcPr>
          <w:p>
            <w:pPr>
              <w:ind w:left="60"/>
              <w:spacing w:after="0"/>
              <w:rPr>
                <w:sz w:val="20"/>
                <w:szCs w:val="20"/>
                <w:color w:val="auto"/>
              </w:rPr>
            </w:pPr>
            <w:r>
              <w:rPr>
                <w:rFonts w:ascii="Arial" w:cs="Arial" w:eastAsia="Arial" w:hAnsi="Arial"/>
                <w:sz w:val="17"/>
                <w:szCs w:val="17"/>
                <w:color w:val="0000FF"/>
              </w:rPr>
              <w:t>12/23/2019</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33"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06" w:lineRule="exact"/>
        <w:rPr>
          <w:sz w:val="24"/>
          <w:szCs w:val="24"/>
          <w:color w:val="auto"/>
        </w:rPr>
      </w:pPr>
    </w:p>
    <w:p>
      <w:pPr>
        <w:sectPr>
          <w:pgSz w:w="11900" w:h="16838" w:orient="portrait"/>
          <w:cols w:equalWidth="0" w:num="2">
            <w:col w:w="3900" w:space="100"/>
            <w:col w:w="7520"/>
          </w:cols>
          <w:pgMar w:left="240" w:top="225" w:right="139" w:bottom="64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2"/>
          </w:tcPr>
          <w:p>
            <w:pPr>
              <w:ind w:left="64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w w:val="89"/>
              </w:rPr>
              <w:t>if any</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4"/>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12/23/2019</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C</w:t>
            </w:r>
          </w:p>
        </w:tc>
        <w:tc>
          <w:tcPr>
            <w:tcW w:w="80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6,850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12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294,896</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12/23/2019</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800" w:type="dxa"/>
            <w:vAlign w:val="bottom"/>
            <w:tcBorders>
              <w:bottom w:val="single" w:sz="8" w:color="2C2C2C"/>
            </w:tcBorders>
          </w:tcPr>
          <w:p>
            <w:pPr>
              <w:jc w:val="right"/>
              <w:ind w:right="115"/>
              <w:spacing w:after="0"/>
              <w:rPr>
                <w:sz w:val="20"/>
                <w:szCs w:val="20"/>
                <w:color w:val="auto"/>
              </w:rPr>
            </w:pPr>
            <w:r>
              <w:rPr>
                <w:rFonts w:ascii="Arial" w:cs="Arial" w:eastAsia="Arial" w:hAnsi="Arial"/>
                <w:sz w:val="17"/>
                <w:szCs w:val="17"/>
                <w:color w:val="0000FF"/>
              </w:rPr>
              <w:t>13,046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66.8617</w:t>
            </w:r>
            <w:r>
              <w:rPr>
                <w:rFonts w:ascii="Arial" w:cs="Arial" w:eastAsia="Arial" w:hAnsi="Arial"/>
                <w:sz w:val="22"/>
                <w:szCs w:val="22"/>
                <w:color w:val="008000"/>
                <w:w w:val="90"/>
                <w:vertAlign w:val="superscript"/>
              </w:rPr>
              <w:t>(3)</w:t>
            </w: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281,850</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 of</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6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0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spacing w:after="0"/>
              <w:rPr>
                <w:sz w:val="12"/>
                <w:szCs w:val="12"/>
                <w:color w:val="auto"/>
              </w:rPr>
            </w:pPr>
          </w:p>
        </w:tc>
        <w:tc>
          <w:tcPr>
            <w:tcW w:w="540" w:type="dxa"/>
            <w:vAlign w:val="bottom"/>
          </w:tcPr>
          <w:p>
            <w:pPr>
              <w:jc w:val="center"/>
              <w:ind w:left="54"/>
              <w:spacing w:after="0" w:line="147" w:lineRule="exact"/>
              <w:rPr>
                <w:sz w:val="20"/>
                <w:szCs w:val="20"/>
                <w:color w:val="auto"/>
              </w:rPr>
            </w:pPr>
            <w:r>
              <w:rPr>
                <w:rFonts w:ascii="Arial" w:cs="Arial" w:eastAsia="Arial" w:hAnsi="Arial"/>
                <w:sz w:val="13"/>
                <w:szCs w:val="13"/>
                <w:color w:val="0000FF"/>
                <w:w w:val="93"/>
              </w:rPr>
              <w:t>Class B</w:t>
            </w:r>
          </w:p>
        </w:tc>
        <w:tc>
          <w:tcPr>
            <w:tcW w:w="180" w:type="dxa"/>
            <w:vAlign w:val="bottom"/>
          </w:tcPr>
          <w:p>
            <w:pPr>
              <w:spacing w:after="0"/>
              <w:rPr>
                <w:sz w:val="12"/>
                <w:szCs w:val="12"/>
                <w:color w:val="auto"/>
              </w:rPr>
            </w:pPr>
          </w:p>
        </w:tc>
        <w:tc>
          <w:tcPr>
            <w:tcW w:w="540" w:type="dxa"/>
            <w:vAlign w:val="bottom"/>
            <w:vMerge w:val="restart"/>
          </w:tcPr>
          <w:p>
            <w:pPr>
              <w:jc w:val="right"/>
              <w:ind w:right="48"/>
              <w:spacing w:after="0"/>
              <w:rPr>
                <w:sz w:val="20"/>
                <w:szCs w:val="20"/>
                <w:color w:val="auto"/>
              </w:rPr>
            </w:pPr>
            <w:r>
              <w:rPr>
                <w:rFonts w:ascii="Arial" w:cs="Arial" w:eastAsia="Arial" w:hAnsi="Arial"/>
                <w:sz w:val="17"/>
                <w:szCs w:val="17"/>
                <w:color w:val="0000FF"/>
                <w:w w:val="93"/>
              </w:rPr>
              <w:t>6,850</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47"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3.77</w:t>
            </w: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12/23/2019</w:t>
            </w:r>
          </w:p>
        </w:tc>
        <w:tc>
          <w:tcPr>
            <w:tcW w:w="1160" w:type="dxa"/>
            <w:vAlign w:val="bottom"/>
          </w:tcPr>
          <w:p>
            <w:pPr>
              <w:spacing w:after="0"/>
              <w:rPr>
                <w:sz w:val="12"/>
                <w:szCs w:val="12"/>
                <w:color w:val="auto"/>
              </w:rPr>
            </w:pPr>
          </w:p>
        </w:tc>
        <w:tc>
          <w:tcPr>
            <w:tcW w:w="480" w:type="dxa"/>
            <w:vAlign w:val="bottom"/>
          </w:tcPr>
          <w:p>
            <w:pPr>
              <w:ind w:left="160"/>
              <w:spacing w:after="0" w:line="147"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gridSpan w:val="2"/>
          </w:tcPr>
          <w:p>
            <w:pPr>
              <w:ind w:left="40"/>
              <w:spacing w:after="0" w:line="147" w:lineRule="exact"/>
              <w:rPr>
                <w:sz w:val="20"/>
                <w:szCs w:val="20"/>
                <w:color w:val="auto"/>
              </w:rPr>
            </w:pPr>
            <w:r>
              <w:rPr>
                <w:rFonts w:ascii="Arial" w:cs="Arial" w:eastAsia="Arial" w:hAnsi="Arial"/>
                <w:sz w:val="13"/>
                <w:szCs w:val="13"/>
                <w:color w:val="0000FF"/>
                <w:w w:val="92"/>
              </w:rPr>
              <w:t>6,850</w:t>
            </w:r>
          </w:p>
        </w:tc>
        <w:tc>
          <w:tcPr>
            <w:tcW w:w="800" w:type="dxa"/>
            <w:vAlign w:val="bottom"/>
            <w:vMerge w:val="continue"/>
          </w:tcPr>
          <w:p>
            <w:pPr>
              <w:spacing w:after="0"/>
              <w:rPr>
                <w:sz w:val="12"/>
                <w:szCs w:val="12"/>
                <w:color w:val="auto"/>
              </w:rPr>
            </w:pPr>
          </w:p>
        </w:tc>
        <w:tc>
          <w:tcPr>
            <w:tcW w:w="800" w:type="dxa"/>
            <w:vAlign w:val="bottom"/>
          </w:tcPr>
          <w:p>
            <w:pPr>
              <w:jc w:val="center"/>
              <w:ind w:left="15"/>
              <w:spacing w:after="0" w:line="147" w:lineRule="exact"/>
              <w:rPr>
                <w:sz w:val="20"/>
                <w:szCs w:val="20"/>
                <w:color w:val="auto"/>
              </w:rPr>
            </w:pPr>
            <w:r>
              <w:rPr>
                <w:rFonts w:ascii="Arial" w:cs="Arial" w:eastAsia="Arial" w:hAnsi="Arial"/>
                <w:sz w:val="13"/>
                <w:szCs w:val="13"/>
                <w:color w:val="0000FF"/>
                <w:w w:val="92"/>
              </w:rPr>
              <w:t>09/06/2028</w:t>
            </w:r>
          </w:p>
        </w:tc>
        <w:tc>
          <w:tcPr>
            <w:tcW w:w="720" w:type="dxa"/>
            <w:vAlign w:val="bottom"/>
            <w:gridSpan w:val="2"/>
          </w:tcPr>
          <w:p>
            <w:pPr>
              <w:ind w:left="8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155"/>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jc w:val="center"/>
              <w:spacing w:after="0" w:line="147" w:lineRule="exact"/>
              <w:rPr>
                <w:sz w:val="20"/>
                <w:szCs w:val="20"/>
                <w:color w:val="auto"/>
              </w:rPr>
            </w:pPr>
            <w:r>
              <w:rPr>
                <w:rFonts w:ascii="Arial" w:cs="Arial" w:eastAsia="Arial" w:hAnsi="Arial"/>
                <w:sz w:val="13"/>
                <w:szCs w:val="13"/>
                <w:color w:val="0000FF"/>
                <w:w w:val="89"/>
              </w:rPr>
              <w:t>415,750</w:t>
            </w: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jc w:val="center"/>
              <w:ind w:left="54"/>
              <w:spacing w:after="0" w:line="147" w:lineRule="exact"/>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800" w:type="dxa"/>
            <w:vAlign w:val="bottom"/>
            <w:vMerge w:val="restart"/>
          </w:tcPr>
          <w:p>
            <w:pPr>
              <w:jc w:val="center"/>
              <w:ind w:left="15"/>
              <w:spacing w:after="0"/>
              <w:rPr>
                <w:sz w:val="20"/>
                <w:szCs w:val="20"/>
                <w:color w:val="auto"/>
              </w:rPr>
            </w:pPr>
            <w:r>
              <w:rPr>
                <w:rFonts w:ascii="Arial" w:cs="Arial" w:eastAsia="Arial" w:hAnsi="Arial"/>
                <w:sz w:val="11"/>
                <w:szCs w:val="11"/>
                <w:color w:val="008000"/>
                <w:w w:val="88"/>
              </w:rPr>
              <w:t>(5)</w:t>
            </w:r>
          </w:p>
        </w:tc>
        <w:tc>
          <w:tcPr>
            <w:tcW w:w="540" w:type="dxa"/>
            <w:vAlign w:val="bottom"/>
          </w:tcPr>
          <w:p>
            <w:pPr>
              <w:jc w:val="center"/>
              <w:ind w:left="54"/>
              <w:spacing w:after="0"/>
              <w:rPr>
                <w:sz w:val="20"/>
                <w:szCs w:val="20"/>
                <w:color w:val="auto"/>
              </w:rPr>
            </w:pPr>
            <w:r>
              <w:rPr>
                <w:rFonts w:ascii="Arial" w:cs="Arial" w:eastAsia="Arial" w:hAnsi="Arial"/>
                <w:sz w:val="13"/>
                <w:szCs w:val="13"/>
                <w:color w:val="0000FF"/>
                <w:w w:val="93"/>
              </w:rPr>
              <w:t>Class A</w:t>
            </w:r>
          </w:p>
        </w:tc>
        <w:tc>
          <w:tcPr>
            <w:tcW w:w="180" w:type="dxa"/>
            <w:vAlign w:val="bottom"/>
          </w:tcPr>
          <w:p>
            <w:pPr>
              <w:spacing w:after="0"/>
              <w:rPr>
                <w:sz w:val="16"/>
                <w:szCs w:val="16"/>
                <w:color w:val="auto"/>
              </w:rPr>
            </w:pPr>
          </w:p>
        </w:tc>
        <w:tc>
          <w:tcPr>
            <w:tcW w:w="540" w:type="dxa"/>
            <w:vAlign w:val="bottom"/>
            <w:vMerge w:val="restart"/>
          </w:tcPr>
          <w:p>
            <w:pPr>
              <w:jc w:val="right"/>
              <w:ind w:right="48"/>
              <w:spacing w:after="0"/>
              <w:rPr>
                <w:sz w:val="20"/>
                <w:szCs w:val="20"/>
                <w:color w:val="auto"/>
              </w:rPr>
            </w:pPr>
            <w:r>
              <w:rPr>
                <w:rFonts w:ascii="Arial" w:cs="Arial" w:eastAsia="Arial" w:hAnsi="Arial"/>
                <w:sz w:val="17"/>
                <w:szCs w:val="17"/>
                <w:color w:val="0000FF"/>
                <w:w w:val="93"/>
              </w:rPr>
              <w:t>6,850</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12/23/2019</w:t>
            </w:r>
          </w:p>
        </w:tc>
        <w:tc>
          <w:tcPr>
            <w:tcW w:w="1160" w:type="dxa"/>
            <w:vAlign w:val="bottom"/>
          </w:tcPr>
          <w:p>
            <w:pPr>
              <w:spacing w:after="0"/>
              <w:rPr>
                <w:sz w:val="12"/>
                <w:szCs w:val="12"/>
                <w:color w:val="auto"/>
              </w:rPr>
            </w:pPr>
          </w:p>
        </w:tc>
        <w:tc>
          <w:tcPr>
            <w:tcW w:w="480" w:type="dxa"/>
            <w:vAlign w:val="bottom"/>
          </w:tcPr>
          <w:p>
            <w:pPr>
              <w:ind w:left="160"/>
              <w:spacing w:after="0" w:line="147"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20" w:type="dxa"/>
            <w:vAlign w:val="bottom"/>
          </w:tcPr>
          <w:p>
            <w:pPr>
              <w:ind w:left="20"/>
              <w:spacing w:after="0" w:line="147" w:lineRule="exact"/>
              <w:rPr>
                <w:sz w:val="20"/>
                <w:szCs w:val="20"/>
                <w:color w:val="auto"/>
              </w:rPr>
            </w:pPr>
            <w:r>
              <w:rPr>
                <w:rFonts w:ascii="Arial" w:cs="Arial" w:eastAsia="Arial" w:hAnsi="Arial"/>
                <w:sz w:val="13"/>
                <w:szCs w:val="13"/>
                <w:color w:val="0000FF"/>
              </w:rPr>
              <w:t>6,850</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gridSpan w:val="2"/>
          </w:tcPr>
          <w:p>
            <w:pPr>
              <w:ind w:left="8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155"/>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center"/>
              <w:ind w:left="178"/>
              <w:spacing w:after="0" w:line="147" w:lineRule="exact"/>
              <w:rPr>
                <w:sz w:val="20"/>
                <w:szCs w:val="20"/>
                <w:color w:val="auto"/>
              </w:rPr>
            </w:pPr>
            <w:r>
              <w:rPr>
                <w:rFonts w:ascii="Arial" w:cs="Arial" w:eastAsia="Arial" w:hAnsi="Arial"/>
                <w:sz w:val="13"/>
                <w:szCs w:val="13"/>
                <w:color w:val="0000FF"/>
                <w:w w:val="92"/>
              </w:rPr>
              <w:t>6,850</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jc w:val="center"/>
              <w:ind w:left="54"/>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800" w:type="dxa"/>
            <w:vAlign w:val="bottom"/>
            <w:vMerge w:val="restart"/>
          </w:tcPr>
          <w:p>
            <w:pPr>
              <w:jc w:val="center"/>
              <w:ind w:left="15"/>
              <w:spacing w:after="0"/>
              <w:rPr>
                <w:sz w:val="20"/>
                <w:szCs w:val="20"/>
                <w:color w:val="auto"/>
              </w:rPr>
            </w:pPr>
            <w:r>
              <w:rPr>
                <w:rFonts w:ascii="Arial" w:cs="Arial" w:eastAsia="Arial" w:hAnsi="Arial"/>
                <w:sz w:val="11"/>
                <w:szCs w:val="11"/>
                <w:color w:val="008000"/>
                <w:w w:val="88"/>
              </w:rPr>
              <w:t>(5)</w:t>
            </w:r>
          </w:p>
        </w:tc>
        <w:tc>
          <w:tcPr>
            <w:tcW w:w="540" w:type="dxa"/>
            <w:vAlign w:val="bottom"/>
          </w:tcPr>
          <w:p>
            <w:pPr>
              <w:jc w:val="center"/>
              <w:ind w:left="54"/>
              <w:spacing w:after="0"/>
              <w:rPr>
                <w:sz w:val="20"/>
                <w:szCs w:val="20"/>
                <w:color w:val="auto"/>
              </w:rPr>
            </w:pPr>
            <w:r>
              <w:rPr>
                <w:rFonts w:ascii="Arial" w:cs="Arial" w:eastAsia="Arial" w:hAnsi="Arial"/>
                <w:sz w:val="13"/>
                <w:szCs w:val="13"/>
                <w:color w:val="0000FF"/>
                <w:w w:val="93"/>
              </w:rPr>
              <w:t>Class A</w:t>
            </w:r>
          </w:p>
        </w:tc>
        <w:tc>
          <w:tcPr>
            <w:tcW w:w="180" w:type="dxa"/>
            <w:vAlign w:val="bottom"/>
          </w:tcPr>
          <w:p>
            <w:pPr>
              <w:spacing w:after="0"/>
              <w:rPr>
                <w:sz w:val="16"/>
                <w:szCs w:val="16"/>
                <w:color w:val="auto"/>
              </w:rPr>
            </w:pPr>
          </w:p>
        </w:tc>
        <w:tc>
          <w:tcPr>
            <w:tcW w:w="540" w:type="dxa"/>
            <w:vAlign w:val="bottom"/>
            <w:vMerge w:val="restart"/>
          </w:tcPr>
          <w:p>
            <w:pPr>
              <w:jc w:val="right"/>
              <w:ind w:right="48"/>
              <w:spacing w:after="0"/>
              <w:rPr>
                <w:sz w:val="20"/>
                <w:szCs w:val="20"/>
                <w:color w:val="auto"/>
              </w:rPr>
            </w:pPr>
            <w:r>
              <w:rPr>
                <w:rFonts w:ascii="Arial" w:cs="Arial" w:eastAsia="Arial" w:hAnsi="Arial"/>
                <w:sz w:val="17"/>
                <w:szCs w:val="17"/>
                <w:color w:val="0000FF"/>
                <w:w w:val="93"/>
              </w:rPr>
              <w:t>6,850</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12/23/2019</w:t>
            </w:r>
          </w:p>
        </w:tc>
        <w:tc>
          <w:tcPr>
            <w:tcW w:w="1160" w:type="dxa"/>
            <w:vAlign w:val="bottom"/>
          </w:tcPr>
          <w:p>
            <w:pPr>
              <w:spacing w:after="0"/>
              <w:rPr>
                <w:sz w:val="12"/>
                <w:szCs w:val="12"/>
                <w:color w:val="auto"/>
              </w:rPr>
            </w:pPr>
          </w:p>
        </w:tc>
        <w:tc>
          <w:tcPr>
            <w:tcW w:w="480" w:type="dxa"/>
            <w:vAlign w:val="bottom"/>
          </w:tcPr>
          <w:p>
            <w:pPr>
              <w:ind w:left="180"/>
              <w:spacing w:after="0" w:line="147"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gridSpan w:val="2"/>
          </w:tcPr>
          <w:p>
            <w:pPr>
              <w:ind w:left="40"/>
              <w:spacing w:after="0" w:line="147" w:lineRule="exact"/>
              <w:rPr>
                <w:sz w:val="20"/>
                <w:szCs w:val="20"/>
                <w:color w:val="auto"/>
              </w:rPr>
            </w:pPr>
            <w:r>
              <w:rPr>
                <w:rFonts w:ascii="Arial" w:cs="Arial" w:eastAsia="Arial" w:hAnsi="Arial"/>
                <w:sz w:val="13"/>
                <w:szCs w:val="13"/>
                <w:color w:val="0000FF"/>
                <w:w w:val="92"/>
              </w:rPr>
              <w:t>6,850</w:t>
            </w: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gridSpan w:val="2"/>
          </w:tcPr>
          <w:p>
            <w:pPr>
              <w:ind w:left="8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155"/>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center"/>
              <w:ind w:left="178"/>
              <w:spacing w:after="0" w:line="147"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jc w:val="center"/>
              <w:ind w:left="54"/>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320" w:firstLine="7"/>
        <w:spacing w:after="0" w:line="25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694 shares of Class A Common Stock purchased pursuant to the Zoom Video Communications, Inc. 2019 Employee Stock Purchase Plan ("ESPP"), for the purchase period of April 17, 2019 to December 12, 2019. This transaction is exempt from Rule 16b-3(c). In accordance with the ESPP, these shares were purchased at a price equal to 85% of the closing price of Issuer's Class A Common Stock on December 12, 2019.</w:t>
      </w:r>
    </w:p>
    <w:p>
      <w:pPr>
        <w:spacing w:after="0" w:line="23"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160" w:firstLine="7"/>
        <w:spacing w:after="0" w:line="30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$66.56 to $67.07.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July 11, 2018.</w:t>
      </w:r>
    </w:p>
    <w:p>
      <w:pPr>
        <w:spacing w:after="0" w:line="50" w:lineRule="exact"/>
        <w:rPr>
          <w:rFonts w:ascii="Arial" w:cs="Arial" w:eastAsia="Arial" w:hAnsi="Arial"/>
          <w:sz w:val="13"/>
          <w:szCs w:val="13"/>
          <w:color w:val="008000"/>
        </w:rPr>
      </w:pPr>
    </w:p>
    <w:p>
      <w:pPr>
        <w:ind w:left="40" w:right="260" w:firstLine="7"/>
        <w:spacing w:after="0" w:line="24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the Reporting Person into one share of Class A Common Stock and has no expiration date.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Aparna Bawa, Attorney-in-</w:t>
            </w:r>
          </w:p>
        </w:tc>
        <w:tc>
          <w:tcPr>
            <w:tcW w:w="8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12/23/2019</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64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299"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2019-12-23T18:36:19Z</dcterms:created>
  <dcterms:modified xsi:type="dcterms:W3CDTF">2019-12-23T18:36:19Z</dcterms:modified>
</cp:coreProperties>
</file>