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June 11,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Zoom Communications, Inc.</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tbl>
      <w:tblPr>
        <w:tblW w:w="5668" w:type="dxa"/>
        <w:jc w:val="center"/>
        <w:tblInd w:w="0" w:type="dxa"/>
        <w:tblLayout w:type="fixed"/>
        <w:tblCellMar>
          <w:top w:w="28" w:type="dxa"/>
          <w:left w:w="28" w:type="dxa"/>
          <w:bottom w:w="28" w:type="dxa"/>
          <w:right w:w="28" w:type="dxa"/>
        </w:tblCellMar>
      </w:tblPr>
      <w:tblGrid>
        <w:gridCol w:w="776"/>
        <w:gridCol w:w="680"/>
        <w:gridCol w:w="688"/>
        <w:gridCol w:w="679"/>
        <w:gridCol w:w="679"/>
        <w:gridCol w:w="682"/>
        <w:gridCol w:w="434"/>
        <w:gridCol w:w="434"/>
        <w:gridCol w:w="616"/>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001-38865</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61-1648780</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50" w:after="283"/>
        <w:jc w:val="center"/>
        <w:rPr>
          <w:rFonts w:ascii="Times New Roman;serif" w:hAnsi="Times New Roman;serif"/>
          <w:b/>
          <w:color w:val="000000"/>
          <w:sz w:val="22"/>
        </w:rPr>
      </w:pPr>
      <w:r>
        <w:rPr>
          <w:rFonts w:ascii="Times New Roman;serif" w:hAnsi="Times New Roman;serif"/>
          <w:b/>
          <w:color w:val="000000"/>
          <w:sz w:val="22"/>
        </w:rPr>
        <w:t>55 Almaden Boulevard, 6th Floor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San Jose, California 95113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(888) 799-9666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Zoom Video Communications,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34" w:type="dxa"/>
        <w:jc w:val="left"/>
        <w:tblInd w:w="0" w:type="dxa"/>
        <w:tblLayout w:type="fixed"/>
        <w:tblCellMar>
          <w:top w:w="28" w:type="dxa"/>
          <w:left w:w="28" w:type="dxa"/>
          <w:bottom w:w="28" w:type="dxa"/>
          <w:right w:w="28" w:type="dxa"/>
        </w:tblCellMar>
      </w:tblPr>
      <w:tblGrid>
        <w:gridCol w:w="1373"/>
        <w:gridCol w:w="1210"/>
        <w:gridCol w:w="1228"/>
        <w:gridCol w:w="484"/>
        <w:gridCol w:w="484"/>
        <w:gridCol w:w="486"/>
        <w:gridCol w:w="956"/>
        <w:gridCol w:w="956"/>
        <w:gridCol w:w="1357"/>
      </w:tblGrid>
      <w:tr>
        <w:trPr/>
        <w:tc>
          <w:tcPr>
            <w:tcW w:w="137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Stock, $0.001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ZM</w:t>
            </w:r>
          </w:p>
        </w:tc>
        <w:tc>
          <w:tcPr>
            <w:tcW w:w="326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11, 2026, Zoom Communications, Inc. (the “Company”) held its 2026 Annual Meeting of Stockholders (the "Annual Meeting"). At the Annual Meeting, the Company’s stockholders (1) elected each of the Company’s nominees for Class I director, (2) ratified the appointment of KPMG LLP as the Company’s independent registered public accounting firm for the fiscal year ending January 31, 2027, and (3) approved, on an advisory basis, the compensation of the Company's named executive officers. The final results with respect to each proposal are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Proposal One – Election of Directors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stockholders elected each of the three persons named below as Class I directors to serve until the 2029 annual meeting of stockholders or until their successors are duly elected and qualified. The results of such vote were:</w:t>
      </w:r>
    </w:p>
    <w:p>
      <w:pPr>
        <w:pStyle w:val="TextBody"/>
        <w:bidi w:val="0"/>
        <w:spacing w:before="0" w:after="0"/>
        <w:ind w:left="0" w:right="0" w:firstLine="720"/>
        <w:jc w:val="left"/>
        <w:rPr/>
      </w:pPr>
      <w:r>
        <w:rPr/>
      </w:r>
    </w:p>
    <w:tbl>
      <w:tblPr>
        <w:tblW w:w="7374" w:type="dxa"/>
        <w:jc w:val="center"/>
        <w:tblInd w:w="0" w:type="dxa"/>
        <w:tblLayout w:type="fixed"/>
        <w:tblCellMar>
          <w:top w:w="28" w:type="dxa"/>
          <w:left w:w="28" w:type="dxa"/>
          <w:bottom w:w="28" w:type="dxa"/>
          <w:right w:w="28" w:type="dxa"/>
        </w:tblCellMar>
      </w:tblPr>
      <w:tblGrid>
        <w:gridCol w:w="830"/>
        <w:gridCol w:w="730"/>
        <w:gridCol w:w="734"/>
        <w:gridCol w:w="379"/>
        <w:gridCol w:w="379"/>
        <w:gridCol w:w="383"/>
        <w:gridCol w:w="109"/>
        <w:gridCol w:w="109"/>
        <w:gridCol w:w="109"/>
        <w:gridCol w:w="405"/>
        <w:gridCol w:w="405"/>
        <w:gridCol w:w="406"/>
        <w:gridCol w:w="109"/>
        <w:gridCol w:w="109"/>
        <w:gridCol w:w="109"/>
        <w:gridCol w:w="605"/>
        <w:gridCol w:w="605"/>
        <w:gridCol w:w="85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Eric S. Yuan</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365,506,590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26,355,482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43,129,654</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Lieut. Gen. H.R. McMaster</w:t>
            </w:r>
          </w:p>
        </w:tc>
        <w:tc>
          <w:tcPr>
            <w:tcW w:w="11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302,911,128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88,950,944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43,129,654</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Proposal Two – Ratification of Selection of Independent Public Registered Accounting Firm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stockholders ratified the appointment of KPMG LLP as the Company's independent registered public accounting firm for the fiscal year ending January 31, 2027. The results of such vote were:</w:t>
      </w:r>
    </w:p>
    <w:p>
      <w:pPr>
        <w:pStyle w:val="TextBody"/>
        <w:bidi w:val="0"/>
        <w:spacing w:before="0" w:after="0"/>
        <w:ind w:left="0" w:right="0" w:firstLine="720"/>
        <w:jc w:val="center"/>
        <w:rPr/>
      </w:pPr>
      <w:r>
        <w:rPr/>
      </w:r>
    </w:p>
    <w:tbl>
      <w:tblPr>
        <w:tblW w:w="4119" w:type="dxa"/>
        <w:jc w:val="center"/>
        <w:tblInd w:w="0" w:type="dxa"/>
        <w:tblLayout w:type="fixed"/>
        <w:tblCellMar>
          <w:top w:w="28" w:type="dxa"/>
          <w:left w:w="28" w:type="dxa"/>
          <w:bottom w:w="28" w:type="dxa"/>
          <w:right w:w="28" w:type="dxa"/>
        </w:tblCellMar>
      </w:tblPr>
      <w:tblGrid>
        <w:gridCol w:w="417"/>
        <w:gridCol w:w="367"/>
        <w:gridCol w:w="372"/>
        <w:gridCol w:w="109"/>
        <w:gridCol w:w="109"/>
        <w:gridCol w:w="109"/>
        <w:gridCol w:w="325"/>
        <w:gridCol w:w="325"/>
        <w:gridCol w:w="326"/>
        <w:gridCol w:w="109"/>
        <w:gridCol w:w="109"/>
        <w:gridCol w:w="109"/>
        <w:gridCol w:w="320"/>
        <w:gridCol w:w="320"/>
        <w:gridCol w:w="321"/>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433,269,602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1,467,750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254,374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Proposal Three – Advisory Vote on Executive Compensation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stockholders advised that they were in favor of the compensation of the Company's named executive officers. The results of such vote were:</w:t>
      </w:r>
    </w:p>
    <w:p>
      <w:pPr>
        <w:pStyle w:val="TextBody"/>
        <w:bidi w:val="0"/>
        <w:spacing w:before="0" w:after="0"/>
        <w:ind w:left="0" w:right="0" w:firstLine="720"/>
        <w:jc w:val="left"/>
        <w:rPr/>
      </w:pPr>
      <w:r>
        <w:rPr/>
      </w:r>
    </w:p>
    <w:tbl>
      <w:tblPr>
        <w:tblW w:w="6203" w:type="dxa"/>
        <w:jc w:val="center"/>
        <w:tblInd w:w="0" w:type="dxa"/>
        <w:tblLayout w:type="fixed"/>
        <w:tblCellMar>
          <w:top w:w="28" w:type="dxa"/>
          <w:left w:w="28" w:type="dxa"/>
          <w:bottom w:w="28" w:type="dxa"/>
          <w:right w:w="28" w:type="dxa"/>
        </w:tblCellMar>
      </w:tblPr>
      <w:tblGrid>
        <w:gridCol w:w="417"/>
        <w:gridCol w:w="367"/>
        <w:gridCol w:w="372"/>
        <w:gridCol w:w="109"/>
        <w:gridCol w:w="109"/>
        <w:gridCol w:w="109"/>
        <w:gridCol w:w="344"/>
        <w:gridCol w:w="344"/>
        <w:gridCol w:w="348"/>
        <w:gridCol w:w="109"/>
        <w:gridCol w:w="109"/>
        <w:gridCol w:w="109"/>
        <w:gridCol w:w="320"/>
        <w:gridCol w:w="320"/>
        <w:gridCol w:w="321"/>
        <w:gridCol w:w="109"/>
        <w:gridCol w:w="109"/>
        <w:gridCol w:w="109"/>
        <w:gridCol w:w="605"/>
        <w:gridCol w:w="605"/>
        <w:gridCol w:w="859"/>
      </w:tblGrid>
      <w:tr>
        <w:trPr/>
        <w:tc>
          <w:tcPr>
            <w:tcW w:w="41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BROKER NON-VOTE</w:t>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362,342,009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29,299,390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220,673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43,129,654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45" w:type="dxa"/>
        <w:jc w:val="left"/>
        <w:tblInd w:w="0" w:type="dxa"/>
        <w:tblLayout w:type="fixed"/>
        <w:tblCellMar>
          <w:top w:w="28" w:type="dxa"/>
          <w:left w:w="28" w:type="dxa"/>
          <w:bottom w:w="28" w:type="dxa"/>
          <w:right w:w="28" w:type="dxa"/>
        </w:tblCellMar>
      </w:tblPr>
      <w:tblGrid>
        <w:gridCol w:w="667"/>
        <w:gridCol w:w="586"/>
        <w:gridCol w:w="592"/>
        <w:gridCol w:w="397"/>
        <w:gridCol w:w="397"/>
        <w:gridCol w:w="397"/>
        <w:gridCol w:w="852"/>
        <w:gridCol w:w="852"/>
        <w:gridCol w:w="1205"/>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Zoom Communications, Inc.</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June 15,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Cheree McAlpine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Cheree McAlpine</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Legal Officer and Secretary</w:t>
            </w:r>
          </w:p>
        </w:tc>
      </w:tr>
    </w:tbl>
    <w:p>
      <w:pPr>
        <w:pStyle w:val="TextBody"/>
        <w:bidi w:val="0"/>
        <w:ind w:left="0" w:right="0" w:firstLine="72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3529</Characters>
  <CharactersWithSpaces>4062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