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8165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16546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04/05/2021</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jc w:val="center"/>
              <w:ind w:righ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jc w:val="center"/>
              <w:ind w:left="12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jc w:val="right"/>
              <w:ind w:right="161"/>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4"/>
              <w:spacing w:after="0"/>
              <w:rPr>
                <w:sz w:val="20"/>
                <w:szCs w:val="20"/>
                <w:color w:val="auto"/>
              </w:rPr>
            </w:pPr>
            <w:r>
              <w:rPr>
                <w:rFonts w:ascii="Arial" w:cs="Arial" w:eastAsia="Arial" w:hAnsi="Arial"/>
                <w:sz w:val="17"/>
                <w:szCs w:val="17"/>
                <w:color w:val="0000FF"/>
                <w:w w:val="91"/>
              </w:rPr>
              <w:t>04/05/2021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right"/>
              <w:ind w:right="161"/>
              <w:spacing w:after="0"/>
              <w:rPr>
                <w:sz w:val="20"/>
                <w:szCs w:val="20"/>
                <w:color w:val="auto"/>
              </w:rPr>
            </w:pPr>
            <w:r>
              <w:rPr>
                <w:rFonts w:ascii="Arial" w:cs="Arial" w:eastAsia="Arial" w:hAnsi="Arial"/>
                <w:sz w:val="17"/>
                <w:szCs w:val="17"/>
                <w:color w:val="0000FF"/>
              </w:rPr>
              <w:t>200</w:t>
            </w:r>
          </w:p>
        </w:tc>
        <w:tc>
          <w:tcPr>
            <w:tcW w:w="340" w:type="dxa"/>
            <w:vAlign w:val="bottom"/>
            <w:vMerge w:val="restart"/>
          </w:tcPr>
          <w:p>
            <w:pPr>
              <w:jc w:val="center"/>
              <w:ind w:left="98"/>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314.175</w:t>
            </w:r>
            <w:r>
              <w:rPr>
                <w:rFonts w:ascii="Arial" w:cs="Arial" w:eastAsia="Arial" w:hAnsi="Arial"/>
                <w:sz w:val="22"/>
                <w:szCs w:val="22"/>
                <w:color w:val="008000"/>
                <w:w w:val="87"/>
                <w:vertAlign w:val="superscript"/>
              </w:rPr>
              <w:t>(2)</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168,411</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4"/>
              <w:spacing w:after="0"/>
              <w:rPr>
                <w:sz w:val="20"/>
                <w:szCs w:val="20"/>
                <w:color w:val="auto"/>
              </w:rPr>
            </w:pPr>
            <w:r>
              <w:rPr>
                <w:rFonts w:ascii="Arial" w:cs="Arial" w:eastAsia="Arial" w:hAnsi="Arial"/>
                <w:sz w:val="17"/>
                <w:szCs w:val="17"/>
                <w:color w:val="0000FF"/>
                <w:w w:val="91"/>
              </w:rPr>
              <w:t>04/05/2021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right"/>
              <w:ind w:right="161"/>
              <w:spacing w:after="0"/>
              <w:rPr>
                <w:sz w:val="20"/>
                <w:szCs w:val="20"/>
                <w:color w:val="auto"/>
              </w:rPr>
            </w:pPr>
            <w:r>
              <w:rPr>
                <w:rFonts w:ascii="Arial" w:cs="Arial" w:eastAsia="Arial" w:hAnsi="Arial"/>
                <w:sz w:val="17"/>
                <w:szCs w:val="17"/>
                <w:color w:val="0000FF"/>
              </w:rPr>
              <w:t>200</w:t>
            </w:r>
          </w:p>
        </w:tc>
        <w:tc>
          <w:tcPr>
            <w:tcW w:w="340" w:type="dxa"/>
            <w:vAlign w:val="bottom"/>
            <w:vMerge w:val="restart"/>
          </w:tcPr>
          <w:p>
            <w:pPr>
              <w:jc w:val="center"/>
              <w:ind w:left="98"/>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315.445</w:t>
            </w:r>
            <w:r>
              <w:rPr>
                <w:rFonts w:ascii="Arial" w:cs="Arial" w:eastAsia="Arial" w:hAnsi="Arial"/>
                <w:sz w:val="22"/>
                <w:szCs w:val="22"/>
                <w:color w:val="008000"/>
                <w:w w:val="87"/>
                <w:vertAlign w:val="superscript"/>
              </w:rPr>
              <w:t>(5)</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168,211</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4"/>
              <w:spacing w:after="0"/>
              <w:rPr>
                <w:sz w:val="20"/>
                <w:szCs w:val="20"/>
                <w:color w:val="auto"/>
              </w:rPr>
            </w:pPr>
            <w:r>
              <w:rPr>
                <w:rFonts w:ascii="Arial" w:cs="Arial" w:eastAsia="Arial" w:hAnsi="Arial"/>
                <w:sz w:val="17"/>
                <w:szCs w:val="17"/>
                <w:color w:val="0000FF"/>
                <w:w w:val="91"/>
              </w:rPr>
              <w:t>04/05/2021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right"/>
              <w:ind w:right="161"/>
              <w:spacing w:after="0"/>
              <w:rPr>
                <w:sz w:val="20"/>
                <w:szCs w:val="20"/>
                <w:color w:val="auto"/>
              </w:rPr>
            </w:pPr>
            <w:r>
              <w:rPr>
                <w:rFonts w:ascii="Arial" w:cs="Arial" w:eastAsia="Arial" w:hAnsi="Arial"/>
                <w:sz w:val="17"/>
                <w:szCs w:val="17"/>
                <w:color w:val="0000FF"/>
              </w:rPr>
              <w:t>200</w:t>
            </w:r>
          </w:p>
        </w:tc>
        <w:tc>
          <w:tcPr>
            <w:tcW w:w="340" w:type="dxa"/>
            <w:vAlign w:val="bottom"/>
            <w:vMerge w:val="restart"/>
          </w:tcPr>
          <w:p>
            <w:pPr>
              <w:jc w:val="center"/>
              <w:ind w:left="98"/>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880" w:type="dxa"/>
            <w:vAlign w:val="bottom"/>
            <w:gridSpan w:val="2"/>
            <w:vMerge w:val="restart"/>
          </w:tcPr>
          <w:p>
            <w:pPr>
              <w:jc w:val="center"/>
              <w:ind w:left="6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316.95</w:t>
            </w:r>
            <w:r>
              <w:rPr>
                <w:rFonts w:ascii="Arial" w:cs="Arial" w:eastAsia="Arial" w:hAnsi="Arial"/>
                <w:sz w:val="22"/>
                <w:szCs w:val="22"/>
                <w:color w:val="008000"/>
                <w:w w:val="88"/>
                <w:vertAlign w:val="superscript"/>
              </w:rPr>
              <w:t>(6)</w:t>
            </w:r>
          </w:p>
        </w:tc>
        <w:tc>
          <w:tcPr>
            <w:tcW w:w="140" w:type="dxa"/>
            <w:vAlign w:val="bottom"/>
          </w:tcPr>
          <w:p>
            <w:pPr>
              <w:spacing w:after="0"/>
              <w:rPr>
                <w:sz w:val="22"/>
                <w:szCs w:val="22"/>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168,011</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4"/>
              <w:spacing w:after="0"/>
              <w:rPr>
                <w:sz w:val="20"/>
                <w:szCs w:val="20"/>
                <w:color w:val="auto"/>
              </w:rPr>
            </w:pPr>
            <w:r>
              <w:rPr>
                <w:rFonts w:ascii="Arial" w:cs="Arial" w:eastAsia="Arial" w:hAnsi="Arial"/>
                <w:sz w:val="17"/>
                <w:szCs w:val="17"/>
                <w:color w:val="0000FF"/>
                <w:w w:val="91"/>
              </w:rPr>
              <w:t>04/05/2021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right"/>
              <w:ind w:right="161"/>
              <w:spacing w:after="0"/>
              <w:rPr>
                <w:sz w:val="20"/>
                <w:szCs w:val="20"/>
                <w:color w:val="auto"/>
              </w:rPr>
            </w:pPr>
            <w:r>
              <w:rPr>
                <w:rFonts w:ascii="Arial" w:cs="Arial" w:eastAsia="Arial" w:hAnsi="Arial"/>
                <w:sz w:val="17"/>
                <w:szCs w:val="17"/>
                <w:color w:val="0000FF"/>
              </w:rPr>
              <w:t>400</w:t>
            </w:r>
          </w:p>
        </w:tc>
        <w:tc>
          <w:tcPr>
            <w:tcW w:w="340" w:type="dxa"/>
            <w:vAlign w:val="bottom"/>
            <w:vMerge w:val="restart"/>
          </w:tcPr>
          <w:p>
            <w:pPr>
              <w:jc w:val="center"/>
              <w:ind w:left="98"/>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318.1775</w:t>
            </w:r>
            <w:r>
              <w:rPr>
                <w:rFonts w:ascii="Arial" w:cs="Arial" w:eastAsia="Arial" w:hAnsi="Arial"/>
                <w:sz w:val="22"/>
                <w:szCs w:val="22"/>
                <w:color w:val="008000"/>
                <w:w w:val="89"/>
                <w:vertAlign w:val="superscript"/>
              </w:rPr>
              <w:t>(7)</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167,611</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4"/>
              <w:spacing w:after="0"/>
              <w:rPr>
                <w:sz w:val="20"/>
                <w:szCs w:val="20"/>
                <w:color w:val="auto"/>
              </w:rPr>
            </w:pPr>
            <w:r>
              <w:rPr>
                <w:rFonts w:ascii="Arial" w:cs="Arial" w:eastAsia="Arial" w:hAnsi="Arial"/>
                <w:sz w:val="17"/>
                <w:szCs w:val="17"/>
                <w:color w:val="0000FF"/>
                <w:w w:val="91"/>
              </w:rPr>
              <w:t>04/05/2021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right"/>
              <w:ind w:right="161"/>
              <w:spacing w:after="0"/>
              <w:rPr>
                <w:sz w:val="20"/>
                <w:szCs w:val="20"/>
                <w:color w:val="auto"/>
              </w:rPr>
            </w:pPr>
            <w:r>
              <w:rPr>
                <w:rFonts w:ascii="Arial" w:cs="Arial" w:eastAsia="Arial" w:hAnsi="Arial"/>
                <w:sz w:val="17"/>
                <w:szCs w:val="17"/>
                <w:color w:val="0000FF"/>
              </w:rPr>
              <w:t>200</w:t>
            </w:r>
          </w:p>
        </w:tc>
        <w:tc>
          <w:tcPr>
            <w:tcW w:w="340" w:type="dxa"/>
            <w:vAlign w:val="bottom"/>
            <w:vMerge w:val="restart"/>
          </w:tcPr>
          <w:p>
            <w:pPr>
              <w:jc w:val="center"/>
              <w:ind w:left="98"/>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880" w:type="dxa"/>
            <w:vAlign w:val="bottom"/>
            <w:gridSpan w:val="2"/>
            <w:vMerge w:val="restart"/>
          </w:tcPr>
          <w:p>
            <w:pPr>
              <w:jc w:val="center"/>
              <w:ind w:left="6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318.97</w:t>
            </w:r>
            <w:r>
              <w:rPr>
                <w:rFonts w:ascii="Arial" w:cs="Arial" w:eastAsia="Arial" w:hAnsi="Arial"/>
                <w:sz w:val="22"/>
                <w:szCs w:val="22"/>
                <w:color w:val="008000"/>
                <w:w w:val="88"/>
                <w:vertAlign w:val="superscript"/>
              </w:rPr>
              <w:t>(8)</w:t>
            </w:r>
          </w:p>
        </w:tc>
        <w:tc>
          <w:tcPr>
            <w:tcW w:w="140" w:type="dxa"/>
            <w:vAlign w:val="bottom"/>
          </w:tcPr>
          <w:p>
            <w:pPr>
              <w:spacing w:after="0"/>
              <w:rPr>
                <w:sz w:val="22"/>
                <w:szCs w:val="22"/>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167,411</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4"/>
              <w:spacing w:after="0"/>
              <w:rPr>
                <w:sz w:val="20"/>
                <w:szCs w:val="20"/>
                <w:color w:val="auto"/>
              </w:rPr>
            </w:pPr>
            <w:r>
              <w:rPr>
                <w:rFonts w:ascii="Arial" w:cs="Arial" w:eastAsia="Arial" w:hAnsi="Arial"/>
                <w:sz w:val="17"/>
                <w:szCs w:val="17"/>
                <w:color w:val="0000FF"/>
                <w:w w:val="91"/>
              </w:rPr>
              <w:t>04/05/2021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right"/>
              <w:ind w:right="161"/>
              <w:spacing w:after="0"/>
              <w:rPr>
                <w:sz w:val="20"/>
                <w:szCs w:val="20"/>
                <w:color w:val="auto"/>
              </w:rPr>
            </w:pPr>
            <w:r>
              <w:rPr>
                <w:rFonts w:ascii="Arial" w:cs="Arial" w:eastAsia="Arial" w:hAnsi="Arial"/>
                <w:sz w:val="17"/>
                <w:szCs w:val="17"/>
                <w:color w:val="0000FF"/>
              </w:rPr>
              <w:t>300</w:t>
            </w:r>
          </w:p>
        </w:tc>
        <w:tc>
          <w:tcPr>
            <w:tcW w:w="340" w:type="dxa"/>
            <w:vAlign w:val="bottom"/>
            <w:vMerge w:val="restart"/>
          </w:tcPr>
          <w:p>
            <w:pPr>
              <w:jc w:val="center"/>
              <w:ind w:left="98"/>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320.4667</w:t>
            </w:r>
            <w:r>
              <w:rPr>
                <w:rFonts w:ascii="Arial" w:cs="Arial" w:eastAsia="Arial" w:hAnsi="Arial"/>
                <w:sz w:val="22"/>
                <w:szCs w:val="22"/>
                <w:color w:val="008000"/>
                <w:w w:val="89"/>
                <w:vertAlign w:val="superscript"/>
              </w:rPr>
              <w:t>(9)</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167,111</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4"/>
              <w:spacing w:after="0"/>
              <w:rPr>
                <w:sz w:val="20"/>
                <w:szCs w:val="20"/>
                <w:color w:val="auto"/>
              </w:rPr>
            </w:pPr>
            <w:r>
              <w:rPr>
                <w:rFonts w:ascii="Arial" w:cs="Arial" w:eastAsia="Arial" w:hAnsi="Arial"/>
                <w:sz w:val="17"/>
                <w:szCs w:val="17"/>
                <w:color w:val="0000FF"/>
                <w:w w:val="91"/>
              </w:rPr>
              <w:t>04/05/2021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right"/>
              <w:ind w:right="161"/>
              <w:spacing w:after="0"/>
              <w:rPr>
                <w:sz w:val="20"/>
                <w:szCs w:val="20"/>
                <w:color w:val="auto"/>
              </w:rPr>
            </w:pPr>
            <w:r>
              <w:rPr>
                <w:rFonts w:ascii="Arial" w:cs="Arial" w:eastAsia="Arial" w:hAnsi="Arial"/>
                <w:sz w:val="17"/>
                <w:szCs w:val="17"/>
                <w:color w:val="0000FF"/>
              </w:rPr>
              <w:t>400</w:t>
            </w:r>
          </w:p>
        </w:tc>
        <w:tc>
          <w:tcPr>
            <w:tcW w:w="340" w:type="dxa"/>
            <w:vAlign w:val="bottom"/>
            <w:vMerge w:val="restart"/>
          </w:tcPr>
          <w:p>
            <w:pPr>
              <w:jc w:val="center"/>
              <w:ind w:left="98"/>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321.92</w:t>
            </w:r>
            <w:r>
              <w:rPr>
                <w:rFonts w:ascii="Arial" w:cs="Arial" w:eastAsia="Arial" w:hAnsi="Arial"/>
                <w:sz w:val="22"/>
                <w:szCs w:val="22"/>
                <w:color w:val="008000"/>
                <w:w w:val="86"/>
                <w:vertAlign w:val="superscript"/>
              </w:rPr>
              <w:t>(10)</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166,711</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4"/>
              <w:spacing w:after="0"/>
              <w:rPr>
                <w:sz w:val="20"/>
                <w:szCs w:val="20"/>
                <w:color w:val="auto"/>
              </w:rPr>
            </w:pPr>
            <w:r>
              <w:rPr>
                <w:rFonts w:ascii="Arial" w:cs="Arial" w:eastAsia="Arial" w:hAnsi="Arial"/>
                <w:sz w:val="17"/>
                <w:szCs w:val="17"/>
                <w:color w:val="0000FF"/>
                <w:w w:val="91"/>
              </w:rPr>
              <w:t>04/05/2021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right"/>
              <w:ind w:right="161"/>
              <w:spacing w:after="0"/>
              <w:rPr>
                <w:sz w:val="20"/>
                <w:szCs w:val="20"/>
                <w:color w:val="auto"/>
              </w:rPr>
            </w:pPr>
            <w:r>
              <w:rPr>
                <w:rFonts w:ascii="Arial" w:cs="Arial" w:eastAsia="Arial" w:hAnsi="Arial"/>
                <w:sz w:val="17"/>
                <w:szCs w:val="17"/>
                <w:color w:val="0000FF"/>
              </w:rPr>
              <w:t>493</w:t>
            </w:r>
          </w:p>
        </w:tc>
        <w:tc>
          <w:tcPr>
            <w:tcW w:w="340" w:type="dxa"/>
            <w:vAlign w:val="bottom"/>
            <w:vMerge w:val="restart"/>
          </w:tcPr>
          <w:p>
            <w:pPr>
              <w:jc w:val="center"/>
              <w:ind w:left="98"/>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322.843</w:t>
            </w:r>
            <w:r>
              <w:rPr>
                <w:rFonts w:ascii="Arial" w:cs="Arial" w:eastAsia="Arial" w:hAnsi="Arial"/>
                <w:sz w:val="22"/>
                <w:szCs w:val="22"/>
                <w:color w:val="008000"/>
                <w:w w:val="86"/>
                <w:vertAlign w:val="superscript"/>
              </w:rPr>
              <w:t>(11)</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166,218</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4"/>
              <w:spacing w:after="0"/>
              <w:rPr>
                <w:sz w:val="20"/>
                <w:szCs w:val="20"/>
                <w:color w:val="auto"/>
              </w:rPr>
            </w:pPr>
            <w:r>
              <w:rPr>
                <w:rFonts w:ascii="Arial" w:cs="Arial" w:eastAsia="Arial" w:hAnsi="Arial"/>
                <w:sz w:val="17"/>
                <w:szCs w:val="17"/>
                <w:color w:val="0000FF"/>
                <w:w w:val="91"/>
              </w:rPr>
              <w:t>04/05/2021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right"/>
              <w:ind w:right="161"/>
              <w:spacing w:after="0"/>
              <w:rPr>
                <w:sz w:val="20"/>
                <w:szCs w:val="20"/>
                <w:color w:val="auto"/>
              </w:rPr>
            </w:pPr>
            <w:r>
              <w:rPr>
                <w:rFonts w:ascii="Arial" w:cs="Arial" w:eastAsia="Arial" w:hAnsi="Arial"/>
                <w:sz w:val="17"/>
                <w:szCs w:val="17"/>
                <w:color w:val="0000FF"/>
              </w:rPr>
              <w:t>100</w:t>
            </w:r>
          </w:p>
        </w:tc>
        <w:tc>
          <w:tcPr>
            <w:tcW w:w="340" w:type="dxa"/>
            <w:vAlign w:val="bottom"/>
            <w:vMerge w:val="restart"/>
          </w:tcPr>
          <w:p>
            <w:pPr>
              <w:jc w:val="center"/>
              <w:ind w:left="98"/>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800" w:type="dxa"/>
            <w:vAlign w:val="bottom"/>
            <w:vMerge w:val="restart"/>
          </w:tcPr>
          <w:p>
            <w:pPr>
              <w:jc w:val="center"/>
              <w:ind w:left="14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326.62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166,118</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4"/>
              <w:spacing w:after="0"/>
              <w:rPr>
                <w:sz w:val="20"/>
                <w:szCs w:val="20"/>
                <w:color w:val="auto"/>
              </w:rPr>
            </w:pPr>
            <w:r>
              <w:rPr>
                <w:rFonts w:ascii="Arial" w:cs="Arial" w:eastAsia="Arial" w:hAnsi="Arial"/>
                <w:sz w:val="17"/>
                <w:szCs w:val="17"/>
                <w:color w:val="0000FF"/>
                <w:w w:val="91"/>
              </w:rPr>
              <w:t>04/05/2021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right"/>
              <w:ind w:right="161"/>
              <w:spacing w:after="0"/>
              <w:rPr>
                <w:sz w:val="20"/>
                <w:szCs w:val="20"/>
                <w:color w:val="auto"/>
              </w:rPr>
            </w:pPr>
            <w:r>
              <w:rPr>
                <w:rFonts w:ascii="Arial" w:cs="Arial" w:eastAsia="Arial" w:hAnsi="Arial"/>
                <w:sz w:val="17"/>
                <w:szCs w:val="17"/>
                <w:color w:val="0000FF"/>
              </w:rPr>
              <w:t>100</w:t>
            </w:r>
          </w:p>
        </w:tc>
        <w:tc>
          <w:tcPr>
            <w:tcW w:w="340" w:type="dxa"/>
            <w:vAlign w:val="bottom"/>
            <w:vMerge w:val="restart"/>
          </w:tcPr>
          <w:p>
            <w:pPr>
              <w:jc w:val="center"/>
              <w:ind w:left="98"/>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800" w:type="dxa"/>
            <w:vAlign w:val="bottom"/>
            <w:vMerge w:val="restart"/>
          </w:tcPr>
          <w:p>
            <w:pPr>
              <w:jc w:val="center"/>
              <w:ind w:left="14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327.83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166,018</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jc w:val="right"/>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2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$313.93 to $314.42.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127,500 shares are subject to the Issuer's right to repurchase as of the date hereof.</w:t>
      </w:r>
    </w:p>
    <w:p>
      <w:pPr>
        <w:spacing w:after="0" w:line="50"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5" w:lineRule="exact"/>
        <w:rPr>
          <w:rFonts w:ascii="Arial" w:cs="Arial" w:eastAsia="Arial" w:hAnsi="Arial"/>
          <w:sz w:val="13"/>
          <w:szCs w:val="13"/>
          <w:color w:val="008000"/>
        </w:rPr>
      </w:pPr>
    </w:p>
    <w:p>
      <w:pPr>
        <w:ind w:left="40" w:right="280" w:firstLine="7"/>
        <w:spacing w:after="0" w:line="30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$314.95 to $315.94. The Reporting Person undertakes to provide the Issuer, any security holder of the Issuer, or the staff at the Securities and Exchange Commission, upon request, the full information regarding the number of shares sold at each separate price within the</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ranges set forth above.</w:t>
      </w:r>
    </w:p>
    <w:p>
      <w:pPr>
        <w:spacing w:after="0" w:line="50" w:lineRule="exact"/>
        <w:rPr>
          <w:sz w:val="20"/>
          <w:szCs w:val="20"/>
          <w:color w:val="auto"/>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$316.53 to $317.37.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$317.67 to $318.60.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$318.77 to $319.17.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$320.29 to $320.62.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$321.34 to $322.24.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20" w:firstLine="7"/>
        <w:spacing w:after="0" w:line="250" w:lineRule="auto"/>
        <w:tabs>
          <w:tab w:leader="none" w:pos="19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$322.62 to $323.34.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04/07/2021</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2021-04-07T17:59:59Z</dcterms:created>
  <dcterms:modified xsi:type="dcterms:W3CDTF">2021-04-07T17:59:59Z</dcterms:modified>
</cp:coreProperties>
</file>