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53213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5321300"/>
                    </a:xfrm>
                    <a:prstGeom prst="rect">
                      <a:avLst/>
                    </a:prstGeom>
                    <a:noFill/>
                  </pic:spPr>
                </pic:pic>
              </a:graphicData>
            </a:graphic>
          </wp:anchor>
        </w:drawing>
      </w:r>
    </w:p>
    <w:p>
      <w:pPr>
        <w:spacing w:after="0" w:line="1162" w:lineRule="exact"/>
        <w:rPr>
          <w:sz w:val="24"/>
          <w:szCs w:val="24"/>
          <w:color w:val="auto"/>
        </w:rPr>
      </w:pPr>
    </w:p>
    <w:p>
      <w:pPr>
        <w:sectPr>
          <w:pgSz w:w="11900" w:h="16844" w:orient="portrait"/>
          <w:cols w:equalWidth="0" w:num="2">
            <w:col w:w="2300" w:space="320"/>
            <w:col w:w="8460"/>
          </w:cols>
          <w:pgMar w:left="460" w:top="216"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720" w:type="dxa"/>
            <w:vAlign w:val="bottom"/>
            <w:gridSpan w:val="2"/>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Subotovsky Santiago</w:t>
              </w:r>
            </w:hyperlink>
          </w:p>
        </w:tc>
        <w:tc>
          <w:tcPr>
            <w:tcW w:w="7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8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Zoom Communications,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ZM</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720" w:type="dxa"/>
            <w:vAlign w:val="bottom"/>
            <w:gridSpan w:val="2"/>
            <w:vMerge w:val="continue"/>
          </w:tcPr>
          <w:p>
            <w:pPr>
              <w:spacing w:after="0"/>
              <w:rPr>
                <w:sz w:val="6"/>
                <w:szCs w:val="6"/>
                <w:color w:val="auto"/>
              </w:rPr>
            </w:pPr>
          </w:p>
        </w:tc>
        <w:tc>
          <w:tcPr>
            <w:tcW w:w="7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40" w:type="dxa"/>
            <w:vAlign w:val="bottom"/>
            <w:tcBorders>
              <w:bottom w:val="single" w:sz="8" w:color="0000EE"/>
            </w:tcBorders>
          </w:tcPr>
          <w:p>
            <w:pPr>
              <w:spacing w:after="0"/>
              <w:rPr>
                <w:sz w:val="6"/>
                <w:szCs w:val="6"/>
                <w:color w:val="auto"/>
              </w:rPr>
            </w:pPr>
          </w:p>
        </w:tc>
        <w:tc>
          <w:tcPr>
            <w:tcW w:w="14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720" w:type="dxa"/>
            <w:vAlign w:val="bottom"/>
            <w:tcBorders>
              <w:bottom w:val="single" w:sz="8" w:color="0000EE"/>
            </w:tcBorders>
            <w:gridSpan w:val="2"/>
            <w:vMerge w:val="continue"/>
          </w:tcPr>
          <w:p>
            <w:pPr>
              <w:spacing w:after="0"/>
              <w:rPr>
                <w:sz w:val="5"/>
                <w:szCs w:val="5"/>
                <w:color w:val="auto"/>
              </w:rPr>
            </w:pPr>
          </w:p>
        </w:tc>
        <w:tc>
          <w:tcPr>
            <w:tcW w:w="70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4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720" w:type="dxa"/>
            <w:vAlign w:val="bottom"/>
            <w:gridSpan w:val="2"/>
          </w:tcPr>
          <w:p>
            <w:pPr>
              <w:spacing w:after="0"/>
              <w:rPr>
                <w:sz w:val="6"/>
                <w:szCs w:val="6"/>
                <w:color w:val="auto"/>
              </w:rPr>
            </w:pPr>
          </w:p>
        </w:tc>
        <w:tc>
          <w:tcPr>
            <w:tcW w:w="70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94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25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08/25/2025</w:t>
            </w:r>
          </w:p>
        </w:tc>
        <w:tc>
          <w:tcPr>
            <w:tcW w:w="14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ZOOM COMMUNICATIONS, INC.</w:t>
            </w:r>
          </w:p>
        </w:tc>
        <w:tc>
          <w:tcPr>
            <w:tcW w:w="2500" w:type="dxa"/>
            <w:vAlign w:val="bottom"/>
            <w:gridSpan w:val="3"/>
            <w:vMerge w:val="continue"/>
          </w:tcPr>
          <w:p>
            <w:pPr>
              <w:spacing w:after="0"/>
              <w:rPr>
                <w:sz w:val="10"/>
                <w:szCs w:val="10"/>
                <w:color w:val="auto"/>
              </w:rPr>
            </w:pPr>
          </w:p>
        </w:tc>
        <w:tc>
          <w:tcPr>
            <w:tcW w:w="14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55 ALMADEN BLVD, #600</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tcPr>
          <w:p>
            <w:pPr>
              <w:spacing w:after="0"/>
              <w:rPr>
                <w:sz w:val="11"/>
                <w:szCs w:val="11"/>
                <w:color w:val="auto"/>
              </w:rPr>
            </w:pPr>
          </w:p>
        </w:tc>
        <w:tc>
          <w:tcPr>
            <w:tcW w:w="142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44" w:orient="portrait"/>
          <w:cols w:equalWidth="0" w:num="1">
            <w:col w:w="11080"/>
          </w:cols>
          <w:pgMar w:left="460" w:top="216" w:right="359" w:bottom="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6"/>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4" w:lineRule="exact"/>
        <w:rPr>
          <w:sz w:val="20"/>
          <w:szCs w:val="20"/>
          <w:color w:val="auto"/>
        </w:rPr>
      </w:pPr>
    </w:p>
    <w:p>
      <w:pPr>
        <w:sectPr>
          <w:pgSz w:w="11900" w:h="16844" w:orient="portrait"/>
          <w:cols w:equalWidth="0" w:num="2">
            <w:col w:w="7560" w:space="720"/>
            <w:col w:w="280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60"/>
              <w:spacing w:after="0"/>
              <w:rPr>
                <w:sz w:val="20"/>
                <w:szCs w:val="20"/>
                <w:color w:val="auto"/>
              </w:rPr>
            </w:pPr>
            <w:r>
              <w:rPr>
                <w:rFonts w:ascii="Arial" w:cs="Arial" w:eastAsia="Arial" w:hAnsi="Arial"/>
                <w:sz w:val="11"/>
                <w:szCs w:val="11"/>
                <w:b w:val="1"/>
                <w:bCs w:val="1"/>
                <w:color w:val="auto"/>
              </w:rPr>
              <w:t>2. Transaction</w:t>
            </w:r>
          </w:p>
        </w:tc>
        <w:tc>
          <w:tcPr>
            <w:tcW w:w="1140" w:type="dxa"/>
            <w:vAlign w:val="bottom"/>
            <w:gridSpan w:val="3"/>
          </w:tcPr>
          <w:p>
            <w:pPr>
              <w:ind w:left="10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100" w:type="dxa"/>
            <w:vAlign w:val="bottom"/>
            <w:gridSpan w:val="4"/>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560"/>
              <w:spacing w:after="0"/>
              <w:rPr>
                <w:sz w:val="20"/>
                <w:szCs w:val="20"/>
                <w:color w:val="auto"/>
              </w:rPr>
            </w:pPr>
            <w:r>
              <w:rPr>
                <w:rFonts w:ascii="Arial" w:cs="Arial" w:eastAsia="Arial" w:hAnsi="Arial"/>
                <w:sz w:val="11"/>
                <w:szCs w:val="11"/>
                <w:b w:val="1"/>
                <w:bCs w:val="1"/>
                <w:color w:val="auto"/>
              </w:rPr>
              <w:t>Date</w:t>
            </w:r>
          </w:p>
        </w:tc>
        <w:tc>
          <w:tcPr>
            <w:tcW w:w="460" w:type="dxa"/>
            <w:vAlign w:val="bottom"/>
          </w:tcPr>
          <w:p>
            <w:pPr>
              <w:spacing w:after="0"/>
              <w:rPr>
                <w:sz w:val="10"/>
                <w:szCs w:val="10"/>
                <w:color w:val="auto"/>
              </w:rPr>
            </w:pPr>
          </w:p>
        </w:tc>
        <w:tc>
          <w:tcPr>
            <w:tcW w:w="1140" w:type="dxa"/>
            <w:vAlign w:val="bottom"/>
            <w:gridSpan w:val="3"/>
          </w:tcPr>
          <w:p>
            <w:pPr>
              <w:ind w:left="10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Transaction</w:t>
            </w:r>
          </w:p>
        </w:tc>
        <w:tc>
          <w:tcPr>
            <w:tcW w:w="2100" w:type="dxa"/>
            <w:vAlign w:val="bottom"/>
            <w:gridSpan w:val="4"/>
          </w:tcPr>
          <w:p>
            <w:pPr>
              <w:ind w:left="2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40" w:type="dxa"/>
            <w:vAlign w:val="bottom"/>
            <w:gridSpan w:val="2"/>
          </w:tcPr>
          <w:p>
            <w:pPr>
              <w:jc w:val="center"/>
              <w:ind w:left="451"/>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100"/>
              <w:spacing w:after="0"/>
              <w:rPr>
                <w:sz w:val="20"/>
                <w:szCs w:val="20"/>
                <w:color w:val="auto"/>
              </w:rPr>
            </w:pPr>
            <w:r>
              <w:rPr>
                <w:rFonts w:ascii="Arial" w:cs="Arial" w:eastAsia="Arial" w:hAnsi="Arial"/>
                <w:sz w:val="11"/>
                <w:szCs w:val="11"/>
                <w:b w:val="1"/>
                <w:bCs w:val="1"/>
                <w:color w:val="auto"/>
                <w:w w:val="97"/>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3"/>
          </w:tcPr>
          <w:p>
            <w:pPr>
              <w:ind w:left="10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7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2"/>
            <w:vMerge w:val="restart"/>
          </w:tcPr>
          <w:p>
            <w:pPr>
              <w:jc w:val="center"/>
              <w:ind w:left="471"/>
              <w:spacing w:after="0"/>
              <w:rPr>
                <w:sz w:val="20"/>
                <w:szCs w:val="20"/>
                <w:color w:val="auto"/>
              </w:rPr>
            </w:pPr>
            <w:r>
              <w:rPr>
                <w:rFonts w:ascii="Times New Roman" w:cs="Times New Roman" w:eastAsia="Times New Roman" w:hAnsi="Times New Roman"/>
                <w:sz w:val="17"/>
                <w:szCs w:val="17"/>
                <w:color w:val="0000FF"/>
                <w:w w:val="98"/>
              </w:rPr>
              <w:t>08/25/2025</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25"/>
                <w:szCs w:val="25"/>
                <w:color w:val="0000FF"/>
                <w:vertAlign w:val="subscript"/>
              </w:rPr>
              <w:t>C</w:t>
            </w:r>
            <w:r>
              <w:rPr>
                <w:rFonts w:ascii="Times New Roman" w:cs="Times New Roman" w:eastAsia="Times New Roman" w:hAnsi="Times New Roman"/>
                <w:sz w:val="11"/>
                <w:szCs w:val="11"/>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807,265</w:t>
            </w:r>
          </w:p>
        </w:tc>
        <w:tc>
          <w:tcPr>
            <w:tcW w:w="5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(2)</w:t>
            </w:r>
          </w:p>
        </w:tc>
        <w:tc>
          <w:tcPr>
            <w:tcW w:w="28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(3)</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top w:val="single" w:sz="8" w:color="2C2C2C"/>
              <w:bottom w:val="single" w:sz="8" w:color="2C2C2C"/>
            </w:tcBorders>
            <w:gridSpan w:val="2"/>
          </w:tcPr>
          <w:p>
            <w:pPr>
              <w:jc w:val="center"/>
              <w:ind w:left="471"/>
              <w:spacing w:after="0"/>
              <w:rPr>
                <w:sz w:val="20"/>
                <w:szCs w:val="20"/>
                <w:color w:val="auto"/>
              </w:rPr>
            </w:pPr>
            <w:r>
              <w:rPr>
                <w:rFonts w:ascii="Times New Roman" w:cs="Times New Roman" w:eastAsia="Times New Roman" w:hAnsi="Times New Roman"/>
                <w:sz w:val="17"/>
                <w:szCs w:val="17"/>
                <w:color w:val="0000FF"/>
                <w:w w:val="98"/>
              </w:rPr>
              <w:t>08/26/2025</w:t>
            </w:r>
          </w:p>
        </w:tc>
        <w:tc>
          <w:tcPr>
            <w:tcW w:w="400" w:type="dxa"/>
            <w:vAlign w:val="bottom"/>
            <w:tcBorders>
              <w:top w:val="single" w:sz="8" w:color="2C2C2C"/>
              <w:bottom w:val="single" w:sz="8" w:color="2C2C2C"/>
            </w:tcBorders>
          </w:tcPr>
          <w:p>
            <w:pPr>
              <w:spacing w:after="0"/>
              <w:rPr>
                <w:sz w:val="24"/>
                <w:szCs w:val="24"/>
                <w:color w:val="auto"/>
              </w:rPr>
            </w:pPr>
          </w:p>
        </w:tc>
        <w:tc>
          <w:tcPr>
            <w:tcW w:w="70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(4)</w:t>
            </w:r>
          </w:p>
        </w:tc>
        <w:tc>
          <w:tcPr>
            <w:tcW w:w="76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1,461</w:t>
            </w:r>
          </w:p>
        </w:tc>
        <w:tc>
          <w:tcPr>
            <w:tcW w:w="560" w:type="dxa"/>
            <w:vAlign w:val="bottom"/>
            <w:tcBorders>
              <w:top w:val="single" w:sz="8" w:color="2C2C2C"/>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top w:val="single" w:sz="8" w:color="2C2C2C"/>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79.2099</w:t>
            </w:r>
            <w:r>
              <w:rPr>
                <w:rFonts w:ascii="Times New Roman" w:cs="Times New Roman" w:eastAsia="Times New Roman" w:hAnsi="Times New Roman"/>
                <w:sz w:val="21"/>
                <w:szCs w:val="21"/>
                <w:color w:val="008000"/>
                <w:w w:val="91"/>
                <w:vertAlign w:val="superscript"/>
              </w:rPr>
              <w:t>(5)</w:t>
            </w:r>
          </w:p>
        </w:tc>
        <w:tc>
          <w:tcPr>
            <w:tcW w:w="1240" w:type="dxa"/>
            <w:vAlign w:val="bottom"/>
            <w:tcBorders>
              <w:top w:val="single" w:sz="8" w:color="2C2C2C"/>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2"/>
              </w:rPr>
              <w:t>158,608</w:t>
            </w:r>
            <w:r>
              <w:rPr>
                <w:rFonts w:ascii="Times New Roman" w:cs="Times New Roman" w:eastAsia="Times New Roman" w:hAnsi="Times New Roman"/>
                <w:sz w:val="21"/>
                <w:szCs w:val="21"/>
                <w:color w:val="008000"/>
                <w:w w:val="92"/>
                <w:vertAlign w:val="superscript"/>
              </w:rPr>
              <w:t>(6)</w:t>
            </w:r>
          </w:p>
        </w:tc>
        <w:tc>
          <w:tcPr>
            <w:tcW w:w="28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471"/>
              <w:spacing w:after="0"/>
              <w:rPr>
                <w:sz w:val="20"/>
                <w:szCs w:val="20"/>
                <w:color w:val="auto"/>
              </w:rPr>
            </w:pPr>
            <w:r>
              <w:rPr>
                <w:rFonts w:ascii="Times New Roman" w:cs="Times New Roman" w:eastAsia="Times New Roman" w:hAnsi="Times New Roman"/>
                <w:sz w:val="17"/>
                <w:szCs w:val="17"/>
                <w:color w:val="0000FF"/>
                <w:w w:val="98"/>
              </w:rPr>
              <w:t>08/26/2025</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(4)</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814</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80.1408</w:t>
            </w:r>
            <w:r>
              <w:rPr>
                <w:rFonts w:ascii="Times New Roman" w:cs="Times New Roman" w:eastAsia="Times New Roman" w:hAnsi="Times New Roman"/>
                <w:sz w:val="21"/>
                <w:szCs w:val="21"/>
                <w:color w:val="008000"/>
                <w:w w:val="91"/>
                <w:vertAlign w:val="superscript"/>
              </w:rPr>
              <w:t>(7)</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2"/>
              </w:rPr>
              <w:t>157,794</w:t>
            </w:r>
            <w:r>
              <w:rPr>
                <w:rFonts w:ascii="Times New Roman" w:cs="Times New Roman" w:eastAsia="Times New Roman" w:hAnsi="Times New Roman"/>
                <w:sz w:val="21"/>
                <w:szCs w:val="21"/>
                <w:color w:val="008000"/>
                <w:w w:val="92"/>
                <w:vertAlign w:val="superscript"/>
              </w:rPr>
              <w:t>(6)</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471"/>
              <w:spacing w:after="0"/>
              <w:rPr>
                <w:sz w:val="20"/>
                <w:szCs w:val="20"/>
                <w:color w:val="auto"/>
              </w:rPr>
            </w:pPr>
            <w:r>
              <w:rPr>
                <w:rFonts w:ascii="Times New Roman" w:cs="Times New Roman" w:eastAsia="Times New Roman" w:hAnsi="Times New Roman"/>
                <w:sz w:val="17"/>
                <w:szCs w:val="17"/>
                <w:color w:val="0000FF"/>
                <w:w w:val="98"/>
              </w:rPr>
              <w:t>08/26/2025</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(4)</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80.91</w:t>
            </w:r>
            <w:r>
              <w:rPr>
                <w:rFonts w:ascii="Times New Roman" w:cs="Times New Roman" w:eastAsia="Times New Roman" w:hAnsi="Times New Roman"/>
                <w:sz w:val="21"/>
                <w:szCs w:val="21"/>
                <w:color w:val="008000"/>
                <w:w w:val="90"/>
                <w:vertAlign w:val="superscript"/>
              </w:rPr>
              <w:t>(8)</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2"/>
              </w:rPr>
              <w:t>157,594</w:t>
            </w:r>
            <w:r>
              <w:rPr>
                <w:rFonts w:ascii="Times New Roman" w:cs="Times New Roman" w:eastAsia="Times New Roman" w:hAnsi="Times New Roman"/>
                <w:sz w:val="21"/>
                <w:szCs w:val="21"/>
                <w:color w:val="008000"/>
                <w:w w:val="92"/>
                <w:vertAlign w:val="superscript"/>
              </w:rPr>
              <w:t>(6)</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0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1340" w:type="dxa"/>
            <w:vAlign w:val="bottom"/>
            <w:gridSpan w:val="3"/>
          </w:tcPr>
          <w:p>
            <w:pPr>
              <w:ind w:left="6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400" w:type="dxa"/>
            <w:vAlign w:val="bottom"/>
          </w:tcPr>
          <w:p>
            <w:pPr>
              <w:ind w:left="20"/>
              <w:spacing w:after="0"/>
              <w:rPr>
                <w:sz w:val="20"/>
                <w:szCs w:val="20"/>
                <w:color w:val="auto"/>
              </w:rPr>
            </w:pPr>
            <w:r>
              <w:rPr>
                <w:rFonts w:ascii="Arial" w:cs="Arial" w:eastAsia="Arial" w:hAnsi="Arial"/>
                <w:sz w:val="11"/>
                <w:szCs w:val="11"/>
                <w:b w:val="1"/>
                <w:bCs w:val="1"/>
                <w:color w:val="auto"/>
              </w:rPr>
              <w:t>V</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(9)</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C</w:t>
            </w:r>
            <w:r>
              <w:rPr>
                <w:rFonts w:ascii="Times New Roman" w:cs="Times New Roman" w:eastAsia="Times New Roman" w:hAnsi="Times New Roman"/>
                <w:sz w:val="11"/>
                <w:szCs w:val="11"/>
                <w:color w:val="008000"/>
              </w:rPr>
              <w:t>(1)</w:t>
            </w: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(9)</w:t>
            </w:r>
          </w:p>
        </w:tc>
        <w:tc>
          <w:tcPr>
            <w:tcW w:w="76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(9)</w:t>
            </w:r>
          </w:p>
        </w:tc>
        <w:tc>
          <w:tcPr>
            <w:tcW w:w="5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807,265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vMerge w:val="restart"/>
          </w:tcPr>
          <w:p>
            <w:pPr>
              <w:ind w:left="60"/>
              <w:spacing w:after="0" w:line="128"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4"/>
                <w:szCs w:val="4"/>
                <w:color w:val="auto"/>
              </w:rPr>
            </w:pPr>
          </w:p>
        </w:tc>
        <w:tc>
          <w:tcPr>
            <w:tcW w:w="1060" w:type="dxa"/>
            <w:vAlign w:val="bottom"/>
            <w:vMerge w:val="restart"/>
          </w:tcPr>
          <w:p>
            <w:pPr>
              <w:jc w:val="right"/>
              <w:ind w:right="161"/>
              <w:spacing w:after="0" w:line="128" w:lineRule="exact"/>
              <w:rPr>
                <w:sz w:val="20"/>
                <w:szCs w:val="20"/>
                <w:color w:val="auto"/>
              </w:rPr>
            </w:pPr>
            <w:r>
              <w:rPr>
                <w:rFonts w:ascii="Times New Roman" w:cs="Times New Roman" w:eastAsia="Times New Roman" w:hAnsi="Times New Roman"/>
                <w:sz w:val="13"/>
                <w:szCs w:val="13"/>
                <w:color w:val="0000FF"/>
              </w:rPr>
              <w:t>08/25/2025</w:t>
            </w:r>
          </w:p>
        </w:tc>
        <w:tc>
          <w:tcPr>
            <w:tcW w:w="108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740" w:type="dxa"/>
            <w:vAlign w:val="bottom"/>
            <w:gridSpan w:val="2"/>
            <w:vMerge w:val="restart"/>
          </w:tcPr>
          <w:p>
            <w:pPr>
              <w:ind w:left="300"/>
              <w:spacing w:after="0" w:line="128" w:lineRule="exact"/>
              <w:rPr>
                <w:sz w:val="20"/>
                <w:szCs w:val="20"/>
                <w:color w:val="auto"/>
              </w:rPr>
            </w:pPr>
            <w:r>
              <w:rPr>
                <w:rFonts w:ascii="Times New Roman" w:cs="Times New Roman" w:eastAsia="Times New Roman" w:hAnsi="Times New Roman"/>
                <w:sz w:val="13"/>
                <w:szCs w:val="13"/>
                <w:color w:val="0000FF"/>
                <w:w w:val="99"/>
              </w:rPr>
              <w:t>807,265</w:t>
            </w:r>
          </w:p>
        </w:tc>
        <w:tc>
          <w:tcPr>
            <w:tcW w:w="7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560" w:type="dxa"/>
            <w:vAlign w:val="bottom"/>
            <w:vMerge w:val="restart"/>
          </w:tcPr>
          <w:p>
            <w:pPr>
              <w:ind w:left="80"/>
              <w:spacing w:after="0" w:line="128" w:lineRule="exact"/>
              <w:rPr>
                <w:sz w:val="20"/>
                <w:szCs w:val="20"/>
                <w:color w:val="auto"/>
              </w:rPr>
            </w:pPr>
            <w:r>
              <w:rPr>
                <w:rFonts w:ascii="Times New Roman" w:cs="Times New Roman" w:eastAsia="Times New Roman" w:hAnsi="Times New Roman"/>
                <w:sz w:val="13"/>
                <w:szCs w:val="13"/>
                <w:color w:val="0000FF"/>
                <w:w w:val="94"/>
              </w:rPr>
              <w:t>Common</w:t>
            </w:r>
          </w:p>
        </w:tc>
        <w:tc>
          <w:tcPr>
            <w:tcW w:w="7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gridSpan w:val="2"/>
            <w:vMerge w:val="restart"/>
          </w:tcPr>
          <w:p>
            <w:pPr>
              <w:ind w:left="24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40" w:type="dxa"/>
            <w:vAlign w:val="bottom"/>
            <w:gridSpan w:val="2"/>
            <w:vMerge w:val="restart"/>
          </w:tcPr>
          <w:p>
            <w:pPr>
              <w:ind w:left="160"/>
              <w:spacing w:after="0" w:line="128" w:lineRule="exact"/>
              <w:rPr>
                <w:sz w:val="20"/>
                <w:szCs w:val="20"/>
                <w:color w:val="auto"/>
              </w:rPr>
            </w:pPr>
            <w:r>
              <w:rPr>
                <w:rFonts w:ascii="Times New Roman" w:cs="Times New Roman" w:eastAsia="Times New Roman" w:hAnsi="Times New Roman"/>
                <w:sz w:val="13"/>
                <w:szCs w:val="13"/>
                <w:color w:val="0000FF"/>
              </w:rPr>
              <w:t>4,273,046</w:t>
            </w:r>
          </w:p>
        </w:tc>
        <w:tc>
          <w:tcPr>
            <w:tcW w:w="620" w:type="dxa"/>
            <w:vAlign w:val="bottom"/>
            <w:vMerge w:val="restart"/>
          </w:tcPr>
          <w:p>
            <w:pPr>
              <w:ind w:left="380"/>
              <w:spacing w:after="0" w:line="128" w:lineRule="exact"/>
              <w:rPr>
                <w:sz w:val="20"/>
                <w:szCs w:val="20"/>
                <w:color w:val="auto"/>
              </w:rPr>
            </w:pPr>
            <w:r>
              <w:rPr>
                <w:rFonts w:ascii="Times New Roman" w:cs="Times New Roman" w:eastAsia="Times New Roman" w:hAnsi="Times New Roman"/>
                <w:sz w:val="13"/>
                <w:szCs w:val="13"/>
                <w:color w:val="0000FF"/>
              </w:rPr>
              <w:t>I</w:t>
            </w:r>
          </w:p>
        </w:tc>
        <w:tc>
          <w:tcPr>
            <w:tcW w:w="140" w:type="dxa"/>
            <w:vAlign w:val="bottom"/>
          </w:tcPr>
          <w:p>
            <w:pPr>
              <w:spacing w:after="0"/>
              <w:rPr>
                <w:sz w:val="4"/>
                <w:szCs w:val="4"/>
                <w:color w:val="auto"/>
              </w:rPr>
            </w:pPr>
          </w:p>
        </w:tc>
        <w:tc>
          <w:tcPr>
            <w:tcW w:w="74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ind w:left="480"/>
              <w:spacing w:after="0" w:line="81" w:lineRule="exact"/>
              <w:rPr>
                <w:sz w:val="20"/>
                <w:szCs w:val="20"/>
                <w:color w:val="auto"/>
              </w:rPr>
            </w:pPr>
            <w:r>
              <w:rPr>
                <w:rFonts w:ascii="Times New Roman" w:cs="Times New Roman" w:eastAsia="Times New Roman" w:hAnsi="Times New Roman"/>
                <w:sz w:val="8"/>
                <w:szCs w:val="8"/>
                <w:color w:val="008000"/>
              </w:rPr>
              <w:t>(3)</w:t>
            </w: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Borders>
              <w:right w:val="single" w:sz="8" w:color="2C2C2C"/>
            </w:tcBorders>
            <w:gridSpan w:val="3"/>
          </w:tcPr>
          <w:p>
            <w:pPr>
              <w:ind w:left="60"/>
              <w:spacing w:after="0" w:line="140" w:lineRule="exact"/>
              <w:rPr>
                <w:sz w:val="20"/>
                <w:szCs w:val="20"/>
                <w:color w:val="auto"/>
              </w:rPr>
            </w:pPr>
            <w:r>
              <w:rPr>
                <w:rFonts w:ascii="Times New Roman" w:cs="Times New Roman" w:eastAsia="Times New Roman" w:hAnsi="Times New Roman"/>
                <w:sz w:val="13"/>
                <w:szCs w:val="13"/>
                <w:color w:val="0000FF"/>
              </w:rPr>
              <w:t>footnote</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-1742440</wp:posOffset>
            </wp:positionV>
            <wp:extent cx="28575" cy="1747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74752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38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August 25, 2026, Emergence Capital Partners III, L.P. (Emergence) converted in the aggregate 807,265 shares of the Issuer's Class B Common Stock into 807,265 shares of the Issuer's Class A Common Stock. Subsequently, on the same date, Emergence distributed in-kind, without consideration, all 807,265 shares of the Issuer's Class A Common Stock pro-rata to its partners in accordance with the exemptions under Rule 16a-9(a) (Rule 16a-9(a)) and Rule 16a-13 (Rule 16a-13) of the Securities Exchange Act of 1934, as amended.</w:t>
      </w:r>
    </w:p>
    <w:p>
      <w:pPr>
        <w:spacing w:after="0" w:line="26" w:lineRule="exact"/>
        <w:rPr>
          <w:rFonts w:ascii="Times New Roman" w:cs="Times New Roman" w:eastAsia="Times New Roman" w:hAnsi="Times New Roman"/>
          <w:sz w:val="13"/>
          <w:szCs w:val="13"/>
          <w:color w:val="008000"/>
        </w:rPr>
      </w:pPr>
    </w:p>
    <w:p>
      <w:pPr>
        <w:ind w:left="40" w:right="28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pro-rata distribution in kind, without consideration, of all 807,265 shares of the Issuer's Class A Common Stock by Emergence to its partners in accordance with the exemptions of Rule 16a-9(a) and Rule 16a-13.</w:t>
      </w:r>
    </w:p>
    <w:p>
      <w:pPr>
        <w:spacing w:after="0" w:line="19" w:lineRule="exact"/>
        <w:rPr>
          <w:rFonts w:ascii="Times New Roman" w:cs="Times New Roman" w:eastAsia="Times New Roman" w:hAnsi="Times New Roman"/>
          <w:sz w:val="13"/>
          <w:szCs w:val="13"/>
          <w:color w:val="008000"/>
        </w:rPr>
      </w:pPr>
    </w:p>
    <w:p>
      <w:pPr>
        <w:jc w:val="both"/>
        <w:ind w:left="40" w:right="34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directly by Emergence. The sole general partner of Emergence is Emergence Equity Partners III, L.P. ("EEP III"), and the sole general partner of EEP III is Emergence GP Partners, LLC ("EGP"). The Reporting Person is a member of EEP III. The Reporting Person disclaims Section 16 beneficial ownership of the shares held by Emergence, except to the extent, if any, of his pecuniary interest therein, and this report shall not be deemed an admission that he is the beneficial owner of such shares for Section 16 or any other purpose.</w:t>
      </w:r>
    </w:p>
    <w:p>
      <w:pPr>
        <w:spacing w:after="0" w:line="26"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 on December 19, 2024</w:t>
      </w:r>
    </w:p>
    <w:p>
      <w:pPr>
        <w:spacing w:after="0" w:line="41" w:lineRule="exact"/>
        <w:rPr>
          <w:rFonts w:ascii="Times New Roman" w:cs="Times New Roman" w:eastAsia="Times New Roman" w:hAnsi="Times New Roman"/>
          <w:sz w:val="13"/>
          <w:szCs w:val="13"/>
          <w:color w:val="008000"/>
        </w:rPr>
      </w:pPr>
    </w:p>
    <w:p>
      <w:pPr>
        <w:jc w:val="both"/>
        <w:ind w:left="40" w:right="240"/>
        <w:spacing w:after="0" w:line="287"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$78.735 to $79.73.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ind w:left="40" w:right="30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Balance reflects the Reporting Person's receipt of 7,195 shares of the Issuer's Class A Common Stock by Emergence to its partners in accordance with the exemptions of Rule 16a-9(a) and Rule 16a-13 and the transfer of 4,361 shares of the Issuer's Class A Common Stock to EEP III for no consideration on July 8, 2025, which shares were previously held for the benefit of EEP III.</w:t>
      </w:r>
    </w:p>
    <w:p>
      <w:pPr>
        <w:spacing w:after="0" w:line="19" w:lineRule="exact"/>
        <w:rPr>
          <w:rFonts w:ascii="Times New Roman" w:cs="Times New Roman" w:eastAsia="Times New Roman" w:hAnsi="Times New Roman"/>
          <w:sz w:val="13"/>
          <w:szCs w:val="13"/>
          <w:color w:val="008000"/>
        </w:rPr>
      </w:pPr>
    </w:p>
    <w:p>
      <w:pPr>
        <w:ind w:left="40" w:right="180"/>
        <w:spacing w:after="0" w:line="287"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$79.735 to $80.705.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jc w:val="both"/>
        <w:ind w:left="40" w:right="240"/>
        <w:spacing w:after="0" w:line="287"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$80.745 to $81.14.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ind w:left="40" w:right="140"/>
        <w:spacing w:after="0" w:line="233"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Emergence into one share of Class A Common Stock and has no expiration date. Each share of Class B Common Stock held by Emergence will automatically convert into one share of Class A Common Stock upon any transfer by Emergence except certain "Permitted Transfers" described in the Issuer's certificate of incorporation. All outstanding shares of Class B Common Stock will convert into shares of Class A Common Stock upon the earliest of (i) six months following the death or incapacity of Eric S.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6"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7"/>
                <w:szCs w:val="17"/>
                <w:color w:val="auto"/>
              </w:rPr>
            </w:pPr>
          </w:p>
        </w:tc>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Aparna Bawa, Attorney-in-</w:t>
            </w:r>
          </w:p>
        </w:tc>
        <w:tc>
          <w:tcPr>
            <w:tcW w:w="18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08/27/2025</w:t>
            </w:r>
          </w:p>
        </w:tc>
        <w:tc>
          <w:tcPr>
            <w:tcW w:w="0" w:type="dxa"/>
            <w:vAlign w:val="bottom"/>
          </w:tcPr>
          <w:p>
            <w:pPr>
              <w:spacing w:after="0"/>
              <w:rPr>
                <w:sz w:val="1"/>
                <w:szCs w:val="1"/>
                <w:color w:val="auto"/>
              </w:rPr>
            </w:pPr>
          </w:p>
        </w:tc>
      </w:tr>
      <w:tr>
        <w:trPr>
          <w:trHeight w:val="87"/>
        </w:trPr>
        <w:tc>
          <w:tcPr>
            <w:tcW w:w="6560" w:type="dxa"/>
            <w:vAlign w:val="bottom"/>
          </w:tcPr>
          <w:p>
            <w:pPr>
              <w:spacing w:after="0"/>
              <w:rPr>
                <w:sz w:val="7"/>
                <w:szCs w:val="7"/>
                <w:color w:val="auto"/>
              </w:rPr>
            </w:pPr>
          </w:p>
        </w:tc>
        <w:tc>
          <w:tcPr>
            <w:tcW w:w="2200" w:type="dxa"/>
            <w:vAlign w:val="bottom"/>
            <w:gridSpan w:val="3"/>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6560" w:type="dxa"/>
            <w:vAlign w:val="bottom"/>
          </w:tcPr>
          <w:p>
            <w:pPr>
              <w:spacing w:after="0"/>
              <w:rPr>
                <w:sz w:val="7"/>
                <w:szCs w:val="7"/>
                <w:color w:val="auto"/>
              </w:rPr>
            </w:pPr>
          </w:p>
        </w:tc>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60" w:type="dxa"/>
            <w:vAlign w:val="bottom"/>
          </w:tcPr>
          <w:p>
            <w:pPr>
              <w:spacing w:after="0"/>
              <w:rPr>
                <w:sz w:val="19"/>
                <w:szCs w:val="19"/>
                <w:color w:val="auto"/>
              </w:rPr>
            </w:pPr>
          </w:p>
        </w:tc>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1"/>
        </w:trPr>
        <w:tc>
          <w:tcPr>
            <w:tcW w:w="876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44"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3806"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2025-08-27T19:46:28Z</dcterms:created>
  <dcterms:modified xsi:type="dcterms:W3CDTF">2025-08-27T19:46:28Z</dcterms:modified>
</cp:coreProperties>
</file>