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70060"/>
                    </a:xfrm>
                    <a:prstGeom prst="rect">
                      <a:avLst/>
                    </a:prstGeom>
                    <a:noFill/>
                  </pic:spPr>
                </pic:pic>
              </a:graphicData>
            </a:graphic>
          </wp:anchor>
        </w:drawing>
      </w:r>
    </w:p>
    <w:p>
      <w:pPr>
        <w:spacing w:after="0" w:line="43" w:lineRule="exact"/>
        <w:rPr>
          <w:sz w:val="24"/>
          <w:szCs w:val="24"/>
          <w:color w:val="auto"/>
        </w:rPr>
      </w:pPr>
    </w:p>
    <w:p>
      <w:pPr>
        <w:sectPr>
          <w:pgSz w:w="11900" w:h="16842" w:orient="portrait"/>
          <w:cols w:equalWidth="0" w:num="2">
            <w:col w:w="2300" w:space="420"/>
            <w:col w:w="8800"/>
          </w:cols>
          <w:pgMar w:left="240" w:top="223"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12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02/04/2020</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p>
      <w:pPr>
        <w:ind w:left="543"/>
        <w:spacing w:after="0"/>
        <w:tabs>
          <w:tab w:leader="none" w:pos="1842" w:val="left"/>
          <w:tab w:leader="none" w:pos="21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7" w:lineRule="exact"/>
        <w:rPr>
          <w:sz w:val="20"/>
          <w:szCs w:val="20"/>
          <w:color w:val="auto"/>
        </w:rPr>
      </w:pPr>
    </w:p>
    <w:p>
      <w:pPr>
        <w:sectPr>
          <w:pgSz w:w="11900" w:h="16842" w:orient="portrait"/>
          <w:cols w:equalWidth="0" w:num="2">
            <w:col w:w="7980" w:space="57"/>
            <w:col w:w="3483"/>
          </w:cols>
          <w:pgMar w:left="240" w:top="223" w:right="139" w:bottom="0" w:gutter="0" w:footer="0" w:header="0"/>
          <w:type w:val="continuous"/>
        </w:sectPr>
      </w:pP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80" w:hanging="3976"/>
        <w:spacing w:after="0" w:line="24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ectPr>
          <w:pgSz w:w="11900" w:h="16842" w:orient="portrait"/>
          <w:cols w:equalWidth="0" w:num="2">
            <w:col w:w="7320" w:space="720"/>
            <w:col w:w="348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2"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02/04/2020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line="21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501,412</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1"/>
              </w:rPr>
              <w:t>501,412</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02/04/2020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501,412</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02/04/2020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C</w:t>
            </w:r>
            <w:r>
              <w:rPr>
                <w:rFonts w:ascii="Arial" w:cs="Arial" w:eastAsia="Arial" w:hAnsi="Arial"/>
                <w:sz w:val="10"/>
                <w:szCs w:val="10"/>
                <w:color w:val="008000"/>
                <w:w w:val="92"/>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61,088</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2"/>
              </w:rPr>
              <w:t>61,088</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02/04/2020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61,088</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40" w:type="dxa"/>
            <w:vAlign w:val="bottom"/>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4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restart"/>
          </w:tcPr>
          <w:p>
            <w:pPr>
              <w:ind w:left="80"/>
              <w:spacing w:after="0" w:line="297" w:lineRule="exact"/>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20"/>
              <w:spacing w:after="0" w:line="144" w:lineRule="exact"/>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501,412</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Emergence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jc w:val="right"/>
              <w:ind w:right="222"/>
              <w:spacing w:after="0"/>
              <w:rPr>
                <w:sz w:val="20"/>
                <w:szCs w:val="20"/>
                <w:color w:val="auto"/>
              </w:rPr>
            </w:pPr>
            <w:r>
              <w:rPr>
                <w:rFonts w:ascii="Arial" w:cs="Arial" w:eastAsia="Arial" w:hAnsi="Arial"/>
                <w:sz w:val="11"/>
                <w:szCs w:val="11"/>
                <w:color w:val="008000"/>
              </w:rPr>
              <w:t>(1)(2)</w:t>
            </w:r>
          </w:p>
        </w:tc>
        <w:tc>
          <w:tcPr>
            <w:tcW w:w="1120" w:type="dxa"/>
            <w:vAlign w:val="bottom"/>
          </w:tcPr>
          <w:p>
            <w:pPr>
              <w:ind w:left="240"/>
              <w:spacing w:after="0"/>
              <w:rPr>
                <w:sz w:val="20"/>
                <w:szCs w:val="20"/>
                <w:color w:val="auto"/>
              </w:rPr>
            </w:pPr>
            <w:r>
              <w:rPr>
                <w:rFonts w:ascii="Arial" w:cs="Arial" w:eastAsia="Arial" w:hAnsi="Arial"/>
                <w:sz w:val="13"/>
                <w:szCs w:val="13"/>
                <w:color w:val="0000FF"/>
              </w:rPr>
              <w:t>02/04/2020</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0000FF"/>
              </w:rPr>
              <w:t>501,412</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3"/>
                <w:szCs w:val="13"/>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60"/>
              <w:spacing w:after="0"/>
              <w:rPr>
                <w:sz w:val="20"/>
                <w:szCs w:val="20"/>
                <w:color w:val="auto"/>
              </w:rPr>
            </w:pPr>
            <w:r>
              <w:rPr>
                <w:rFonts w:ascii="Arial" w:cs="Arial" w:eastAsia="Arial" w:hAnsi="Arial"/>
                <w:sz w:val="13"/>
                <w:szCs w:val="13"/>
                <w:color w:val="0000FF"/>
              </w:rPr>
              <w:t>23,166,868</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80"/>
              <w:spacing w:after="0" w:line="131"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Partners III,</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gridSpan w:val="3"/>
          </w:tcPr>
          <w:p>
            <w:pPr>
              <w:ind w:left="60"/>
              <w:spacing w:after="0" w:line="236"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vMerge w:val="restart"/>
          </w:tcPr>
          <w:p>
            <w:pPr>
              <w:jc w:val="right"/>
              <w:ind w:right="102"/>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ind w:right="34"/>
              <w:spacing w:after="0"/>
              <w:rPr>
                <w:sz w:val="20"/>
                <w:szCs w:val="20"/>
                <w:color w:val="auto"/>
              </w:rPr>
            </w:pPr>
            <w:r>
              <w:rPr>
                <w:rFonts w:ascii="Arial" w:cs="Arial" w:eastAsia="Arial" w:hAnsi="Arial"/>
                <w:sz w:val="17"/>
                <w:szCs w:val="17"/>
                <w:color w:val="0000FF"/>
              </w:rPr>
              <w:t>61,088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 EZP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tcPr>
          <w:p>
            <w:pPr>
              <w:jc w:val="right"/>
              <w:ind w:right="282"/>
              <w:spacing w:after="0"/>
              <w:rPr>
                <w:sz w:val="20"/>
                <w:szCs w:val="20"/>
                <w:color w:val="auto"/>
              </w:rPr>
            </w:pPr>
            <w:r>
              <w:rPr>
                <w:rFonts w:ascii="Arial" w:cs="Arial" w:eastAsia="Arial" w:hAnsi="Arial"/>
                <w:sz w:val="11"/>
                <w:szCs w:val="11"/>
                <w:color w:val="008000"/>
              </w:rPr>
              <w:t>(4)</w:t>
            </w:r>
          </w:p>
        </w:tc>
        <w:tc>
          <w:tcPr>
            <w:tcW w:w="1120" w:type="dxa"/>
            <w:vAlign w:val="bottom"/>
          </w:tcPr>
          <w:p>
            <w:pPr>
              <w:ind w:left="240"/>
              <w:spacing w:after="0" w:line="148" w:lineRule="exact"/>
              <w:rPr>
                <w:sz w:val="20"/>
                <w:szCs w:val="20"/>
                <w:color w:val="auto"/>
              </w:rPr>
            </w:pPr>
            <w:r>
              <w:rPr>
                <w:rFonts w:ascii="Arial" w:cs="Arial" w:eastAsia="Arial" w:hAnsi="Arial"/>
                <w:sz w:val="13"/>
                <w:szCs w:val="13"/>
                <w:color w:val="0000FF"/>
              </w:rPr>
              <w:t>02/04/2020</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0000FF"/>
              </w:rPr>
              <w:t>61,088</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line="14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780" w:type="dxa"/>
            <w:vAlign w:val="bottom"/>
            <w:gridSpan w:val="2"/>
          </w:tcPr>
          <w:p>
            <w:pPr>
              <w:jc w:val="right"/>
              <w:ind w:right="201"/>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80"/>
              <w:spacing w:after="0" w:line="148" w:lineRule="exact"/>
              <w:rPr>
                <w:sz w:val="20"/>
                <w:szCs w:val="20"/>
                <w:color w:val="auto"/>
              </w:rPr>
            </w:pPr>
            <w:r>
              <w:rPr>
                <w:rFonts w:ascii="Arial" w:cs="Arial" w:eastAsia="Arial" w:hAnsi="Arial"/>
                <w:sz w:val="13"/>
                <w:szCs w:val="13"/>
                <w:color w:val="0000FF"/>
              </w:rPr>
              <w:t>2,821,957</w:t>
            </w:r>
          </w:p>
        </w:tc>
        <w:tc>
          <w:tcPr>
            <w:tcW w:w="520" w:type="dxa"/>
            <w:vAlign w:val="bottom"/>
          </w:tcPr>
          <w:p>
            <w:pPr>
              <w:ind w:left="420"/>
              <w:spacing w:after="0" w:line="14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8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Opportunity,</w:t>
            </w:r>
          </w:p>
        </w:tc>
        <w:tc>
          <w:tcPr>
            <w:tcW w:w="0" w:type="dxa"/>
            <w:vAlign w:val="bottom"/>
          </w:tcPr>
          <w:p>
            <w:pPr>
              <w:spacing w:after="0"/>
              <w:rPr>
                <w:sz w:val="1"/>
                <w:szCs w:val="1"/>
                <w:color w:val="auto"/>
              </w:rPr>
            </w:pPr>
          </w:p>
        </w:tc>
      </w:tr>
      <w:tr>
        <w:trPr>
          <w:trHeight w:val="275"/>
        </w:trPr>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Stock</w:t>
            </w:r>
          </w:p>
        </w:tc>
        <w:tc>
          <w:tcPr>
            <w:tcW w:w="7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gridSpan w:val="3"/>
          </w:tcPr>
          <w:p>
            <w:pPr>
              <w:ind w:left="60"/>
              <w:spacing w:after="0" w:line="229"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5"/>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SAN MATEO</w:t>
            </w:r>
          </w:p>
        </w:tc>
        <w:tc>
          <w:tcPr>
            <w:tcW w:w="1120" w:type="dxa"/>
            <w:vAlign w:val="bottom"/>
          </w:tcPr>
          <w:p>
            <w:pPr>
              <w:ind w:left="60"/>
              <w:spacing w:after="0"/>
              <w:rPr>
                <w:sz w:val="20"/>
                <w:szCs w:val="20"/>
                <w:color w:val="auto"/>
              </w:rPr>
            </w:pPr>
            <w:r>
              <w:rPr>
                <w:rFonts w:ascii="Arial" w:cs="Arial" w:eastAsia="Arial" w:hAnsi="Arial"/>
                <w:sz w:val="17"/>
                <w:szCs w:val="17"/>
                <w:color w:val="0000FF"/>
              </w:rPr>
              <w:t>CA</w:t>
            </w:r>
          </w:p>
        </w:tc>
        <w:tc>
          <w:tcPr>
            <w:tcW w:w="1080" w:type="dxa"/>
            <w:vAlign w:val="bottom"/>
            <w:gridSpan w:val="2"/>
          </w:tcPr>
          <w:p>
            <w:pPr>
              <w:ind w:left="400"/>
              <w:spacing w:after="0"/>
              <w:rPr>
                <w:sz w:val="20"/>
                <w:szCs w:val="20"/>
                <w:color w:val="auto"/>
              </w:rPr>
            </w:pPr>
            <w:r>
              <w:rPr>
                <w:rFonts w:ascii="Arial" w:cs="Arial" w:eastAsia="Arial" w:hAnsi="Arial"/>
                <w:sz w:val="17"/>
                <w:szCs w:val="17"/>
                <w:color w:val="0000FF"/>
              </w:rPr>
              <w:t>94402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-3952875</wp:posOffset>
            </wp:positionV>
            <wp:extent cx="24130" cy="239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392045"/>
                    </a:xfrm>
                    <a:prstGeom prst="rect">
                      <a:avLst/>
                    </a:prstGeom>
                    <a:noFill/>
                  </pic:spPr>
                </pic:pic>
              </a:graphicData>
            </a:graphic>
          </wp:anchor>
        </w:drawing>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42" w:orient="portrait"/>
          <w:cols w:equalWidth="0" w:num="1">
            <w:col w:w="11520"/>
          </w:cols>
          <w:pgMar w:left="240" w:top="223" w:right="1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Emergence Equity Partners III, L.P.</w:t>
        </w:r>
      </w:hyperlink>
    </w:p>
    <w:p>
      <w:pPr>
        <w:sectPr>
          <w:pgSz w:w="11900" w:h="16842"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3"/>
          </w:tcPr>
          <w:p>
            <w:pPr>
              <w:spacing w:after="0" w:line="218" w:lineRule="exact"/>
              <w:rPr>
                <w:rFonts w:ascii="Arial" w:cs="Arial" w:eastAsia="Arial" w:hAnsi="Arial"/>
                <w:sz w:val="21"/>
                <w:szCs w:val="21"/>
                <w:color w:val="0000EE"/>
              </w:rPr>
            </w:pPr>
            <w:hyperlink r:id="rId16">
              <w:r>
                <w:rPr>
                  <w:rFonts w:ascii="Arial" w:cs="Arial" w:eastAsia="Arial" w:hAnsi="Arial"/>
                  <w:sz w:val="21"/>
                  <w:szCs w:val="21"/>
                  <w:color w:val="0000EE"/>
                </w:rPr>
                <w:t>EZP Opportunity, L.P.</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5445" cy="4471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5445" cy="4471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EMERGENCE GP PARTNERS, LLC</w:t>
        </w:r>
      </w:hyperlink>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Arial" w:cs="Arial" w:eastAsia="Arial" w:hAnsi="Arial"/>
                <w:sz w:val="17"/>
                <w:szCs w:val="17"/>
                <w:color w:val="0000FF"/>
              </w:rPr>
              <w:t>160 BOVET ROAD, SUITE 300</w:t>
            </w:r>
          </w:p>
        </w:tc>
        <w:tc>
          <w:tcPr>
            <w:tcW w:w="1740" w:type="dxa"/>
            <w:vAlign w:val="bottom"/>
          </w:tcPr>
          <w:p>
            <w:pPr>
              <w:spacing w:after="0"/>
              <w:rPr>
                <w:sz w:val="23"/>
                <w:szCs w:val="23"/>
                <w:color w:val="auto"/>
              </w:rPr>
            </w:pPr>
          </w:p>
        </w:tc>
      </w:tr>
      <w:tr>
        <w:trPr>
          <w:trHeight w:val="206"/>
        </w:trPr>
        <w:tc>
          <w:tcPr>
            <w:tcW w:w="2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r>
      <w:tr>
        <w:trPr>
          <w:trHeight w:val="2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1380" w:type="dxa"/>
            <w:vAlign w:val="bottom"/>
          </w:tcPr>
          <w:p>
            <w:pPr>
              <w:ind w:left="2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right="20" w:firstLine="4"/>
        <w:spacing w:after="0"/>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4, 2020, Emergence Capital Partners III, L.P. ("Emergence") converted in the aggregate 501,412 shares of the Issuer's Class B Common Stock into 501,412 shares of the Issuer's Class A Common Stock. Subsequently on the same date, Emergence distributed in-kind, without consideration, all 501,412 shares of Class A Common Stock pro-rata to its partners, including its limited partners and its general partner, Emergence Equity Partners III, L.P. ("EEP III"), in accordance with the exemption under Rule 16a-9(a) and Rule 16a-13 of the Securities Exchange Act of 1934, as amended. This distribution is being made pursuant to a 10b5-1 plan adopted by Emergence on September 27, 2019.</w:t>
      </w:r>
    </w:p>
    <w:p>
      <w:pPr>
        <w:spacing w:after="0" w:line="31" w:lineRule="exact"/>
        <w:rPr>
          <w:rFonts w:ascii="Arial" w:cs="Arial" w:eastAsia="Arial" w:hAnsi="Arial"/>
          <w:sz w:val="13"/>
          <w:szCs w:val="13"/>
          <w:color w:val="008000"/>
        </w:rPr>
      </w:pPr>
    </w:p>
    <w:p>
      <w:pPr>
        <w:ind w:left="20" w:right="18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(386,039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2" w:lineRule="exact"/>
        <w:rPr>
          <w:rFonts w:ascii="Arial" w:cs="Arial" w:eastAsia="Arial" w:hAnsi="Arial"/>
          <w:sz w:val="13"/>
          <w:szCs w:val="13"/>
          <w:color w:val="008000"/>
        </w:rPr>
      </w:pPr>
    </w:p>
    <w:p>
      <w:pPr>
        <w:ind w:lef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20" w:firstLine="4"/>
        <w:spacing w:after="0" w:line="238"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4, 2020, EZP Opportunity, L.P. ("EZP") converted in the aggregate 61,088 shares of the Issuer's Class B Common Stock into 61,088 shares of the Issuer's Class A Common Stock. Subsequently on the same date, EZP distributed in-kind, without consideration, all 61,088 shares of Class A Common Stock pro-rata to its partners, including its limited partners and its general partner, EEP III, in accordance with the exemption under Rule 16a-9(a) and Rule 16a-13 of the Securities Exchange Act of 1934, as amended. This distribution is being made pursuant to a 10b5-1 plan adopted by EZP on September 27, 2019. Upon receipt by EEP III of its pro rata interest of the distribution (12,218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33" w:lineRule="exact"/>
        <w:rPr>
          <w:rFonts w:ascii="Arial" w:cs="Arial" w:eastAsia="Arial" w:hAnsi="Arial"/>
          <w:sz w:val="13"/>
          <w:szCs w:val="13"/>
          <w:color w:val="008000"/>
        </w:rPr>
      </w:pPr>
    </w:p>
    <w:p>
      <w:pPr>
        <w:ind w:left="20" w:righ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34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60"/>
          </w:cols>
          <w:pgMar w:left="260" w:top="309" w:right="279" w:bottom="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69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207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Partners III,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By: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71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GP Partners,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37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91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45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7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45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-9525</wp:posOffset>
            </wp:positionV>
            <wp:extent cx="1176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12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8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03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703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18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01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0000FF"/>
        </w:rPr>
        <w:t>02/06/2020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02/06/2020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0000FF"/>
        </w:rPr>
        <w:t>02/06/2020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02/06/2020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080" w:space="60"/>
            <w:col w:w="2220"/>
          </w:cols>
          <w:pgMar w:left="260" w:top="309" w:right="279" w:bottom="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760" w:firstLine="4"/>
        <w:spacing w:after="0" w:line="314"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309" w:right="2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2020-02-06T15:26:08Z</dcterms:created>
  <dcterms:modified xsi:type="dcterms:W3CDTF">2020-02-06T15:26:08Z</dcterms:modified>
</cp:coreProperties>
</file>