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-588010</wp:posOffset>
            </wp:positionV>
            <wp:extent cx="8255" cy="588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86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-596265</wp:posOffset>
            </wp:positionV>
            <wp:extent cx="8255" cy="596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-572135</wp:posOffset>
            </wp:positionV>
            <wp:extent cx="1273175" cy="54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5492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1665" cy="1695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695450"/>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440"/>
          </w:cols>
          <w:pgMar w:left="460" w:top="219" w:right="359" w:bottom="155"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Chadwick Jonathan</w:t>
        </w:r>
      </w:hyperlink>
    </w:p>
    <w:p>
      <w:pPr>
        <w:spacing w:after="0" w:line="299"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360"/>
        <w:spacing w:after="0" w:line="397"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5"/>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4"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03/03/2021</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80"/>
        <w:spacing w:after="0" w:line="218"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294005</wp:posOffset>
            </wp:positionV>
            <wp:extent cx="6971665" cy="7059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7059295"/>
                    </a:xfrm>
                    <a:prstGeom prst="rect">
                      <a:avLst/>
                    </a:prstGeom>
                    <a:noFill/>
                  </pic:spPr>
                </pic:pic>
              </a:graphicData>
            </a:graphic>
          </wp:anchor>
        </w:drawing>
      </w:r>
    </w:p>
    <w:p>
      <w:pPr>
        <w:spacing w:after="0" w:line="521" w:lineRule="exact"/>
        <w:rPr>
          <w:sz w:val="24"/>
          <w:szCs w:val="24"/>
          <w:color w:val="auto"/>
        </w:rPr>
      </w:pPr>
    </w:p>
    <w:p>
      <w:pPr>
        <w:sectPr>
          <w:pgSz w:w="11900" w:h="16838" w:orient="portrait"/>
          <w:cols w:equalWidth="0" w:num="2">
            <w:col w:w="3740" w:space="100"/>
            <w:col w:w="7240"/>
          </w:cols>
          <w:pgMar w:left="460" w:top="219" w:right="359" w:bottom="15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700" w:type="dxa"/>
            <w:vAlign w:val="bottom"/>
          </w:tcPr>
          <w:p>
            <w:pPr>
              <w:ind w:left="70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980" w:type="dxa"/>
            <w:vAlign w:val="bottom"/>
          </w:tcPr>
          <w:p>
            <w:pPr>
              <w:spacing w:after="0"/>
              <w:rPr>
                <w:sz w:val="10"/>
                <w:szCs w:val="10"/>
                <w:color w:val="auto"/>
              </w:rPr>
            </w:pP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700" w:type="dxa"/>
            <w:vAlign w:val="bottom"/>
          </w:tcPr>
          <w:p>
            <w:pPr>
              <w:jc w:val="center"/>
              <w:ind w:left="541"/>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9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Pr>
          <w:p>
            <w:pPr>
              <w:spacing w:after="0"/>
              <w:rPr>
                <w:sz w:val="21"/>
                <w:szCs w:val="21"/>
                <w:color w:val="auto"/>
              </w:rPr>
            </w:pPr>
          </w:p>
        </w:tc>
        <w:tc>
          <w:tcPr>
            <w:tcW w:w="760" w:type="dxa"/>
            <w:vAlign w:val="bottom"/>
          </w:tcPr>
          <w:p>
            <w:pPr>
              <w:jc w:val="center"/>
              <w:ind w:right="267"/>
              <w:spacing w:after="0"/>
              <w:rPr>
                <w:sz w:val="20"/>
                <w:szCs w:val="20"/>
                <w:color w:val="auto"/>
              </w:rPr>
            </w:pPr>
            <w:r>
              <w:rPr>
                <w:rFonts w:ascii="Arial" w:cs="Arial" w:eastAsia="Arial" w:hAnsi="Arial"/>
                <w:sz w:val="13"/>
                <w:szCs w:val="13"/>
                <w:color w:val="0000FF"/>
                <w:w w:val="84"/>
              </w:rPr>
              <w:t>C</w:t>
            </w:r>
          </w:p>
        </w:tc>
        <w:tc>
          <w:tcPr>
            <w:tcW w:w="780" w:type="dxa"/>
            <w:vAlign w:val="bottom"/>
          </w:tcPr>
          <w:p>
            <w:pPr>
              <w:jc w:val="center"/>
              <w:spacing w:after="0"/>
              <w:rPr>
                <w:sz w:val="20"/>
                <w:szCs w:val="20"/>
                <w:color w:val="auto"/>
              </w:rPr>
            </w:pPr>
            <w:r>
              <w:rPr>
                <w:rFonts w:ascii="Arial" w:cs="Arial" w:eastAsia="Arial" w:hAnsi="Arial"/>
                <w:sz w:val="16"/>
                <w:szCs w:val="16"/>
                <w:color w:val="0000FF"/>
                <w:w w:val="93"/>
              </w:rPr>
              <w:t>150,000</w:t>
            </w:r>
          </w:p>
        </w:tc>
        <w:tc>
          <w:tcPr>
            <w:tcW w:w="540" w:type="dxa"/>
            <w:vAlign w:val="bottom"/>
          </w:tcPr>
          <w:p>
            <w:pPr>
              <w:jc w:val="center"/>
              <w:spacing w:after="0"/>
              <w:rPr>
                <w:sz w:val="20"/>
                <w:szCs w:val="20"/>
                <w:color w:val="auto"/>
              </w:rPr>
            </w:pPr>
            <w:r>
              <w:rPr>
                <w:rFonts w:ascii="Arial" w:cs="Arial" w:eastAsia="Arial" w:hAnsi="Arial"/>
                <w:sz w:val="16"/>
                <w:szCs w:val="16"/>
                <w:color w:val="0000FF"/>
              </w:rPr>
              <w:t>A</w:t>
            </w:r>
          </w:p>
        </w:tc>
        <w:tc>
          <w:tcPr>
            <w:tcW w:w="9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150,000</w:t>
            </w:r>
          </w:p>
        </w:tc>
        <w:tc>
          <w:tcPr>
            <w:tcW w:w="940" w:type="dxa"/>
            <w:vAlign w:val="bottom"/>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10,306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340.6741</w:t>
            </w:r>
            <w:r>
              <w:rPr>
                <w:rFonts w:ascii="Arial" w:cs="Arial" w:eastAsia="Arial" w:hAnsi="Arial"/>
                <w:sz w:val="20"/>
                <w:szCs w:val="20"/>
                <w:color w:val="008000"/>
                <w:w w:val="89"/>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139,694</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20,848</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341.4223</w:t>
            </w:r>
            <w:r>
              <w:rPr>
                <w:rFonts w:ascii="Arial" w:cs="Arial" w:eastAsia="Arial" w:hAnsi="Arial"/>
                <w:sz w:val="20"/>
                <w:szCs w:val="20"/>
                <w:color w:val="008000"/>
                <w:w w:val="89"/>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118,846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7,160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342.4157</w:t>
            </w:r>
            <w:r>
              <w:rPr>
                <w:rFonts w:ascii="Arial" w:cs="Arial" w:eastAsia="Arial" w:hAnsi="Arial"/>
                <w:sz w:val="20"/>
                <w:szCs w:val="20"/>
                <w:color w:val="008000"/>
                <w:w w:val="89"/>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111,686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6,052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343.4723</w:t>
            </w:r>
            <w:r>
              <w:rPr>
                <w:rFonts w:ascii="Arial" w:cs="Arial" w:eastAsia="Arial" w:hAnsi="Arial"/>
                <w:sz w:val="20"/>
                <w:szCs w:val="20"/>
                <w:color w:val="008000"/>
                <w:w w:val="89"/>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105,634</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6,988</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344.4378</w:t>
            </w:r>
            <w:r>
              <w:rPr>
                <w:rFonts w:ascii="Arial" w:cs="Arial" w:eastAsia="Arial" w:hAnsi="Arial"/>
                <w:sz w:val="20"/>
                <w:szCs w:val="20"/>
                <w:color w:val="008000"/>
                <w:w w:val="89"/>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98,646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7,776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345.5601</w:t>
            </w:r>
            <w:r>
              <w:rPr>
                <w:rFonts w:ascii="Arial" w:cs="Arial" w:eastAsia="Arial" w:hAnsi="Arial"/>
                <w:sz w:val="20"/>
                <w:szCs w:val="20"/>
                <w:color w:val="008000"/>
                <w:w w:val="89"/>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90,870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5,465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346.4191</w:t>
            </w:r>
            <w:r>
              <w:rPr>
                <w:rFonts w:ascii="Arial" w:cs="Arial" w:eastAsia="Arial" w:hAnsi="Arial"/>
                <w:sz w:val="20"/>
                <w:szCs w:val="20"/>
                <w:color w:val="008000"/>
                <w:w w:val="89"/>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85,405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3,319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347.6027</w:t>
            </w:r>
            <w:r>
              <w:rPr>
                <w:rFonts w:ascii="Arial" w:cs="Arial" w:eastAsia="Arial" w:hAnsi="Arial"/>
                <w:sz w:val="20"/>
                <w:szCs w:val="20"/>
                <w:color w:val="008000"/>
                <w:w w:val="89"/>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82,086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6,521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348.6472</w:t>
            </w:r>
            <w:r>
              <w:rPr>
                <w:rFonts w:ascii="Arial" w:cs="Arial" w:eastAsia="Arial" w:hAnsi="Arial"/>
                <w:sz w:val="20"/>
                <w:szCs w:val="20"/>
                <w:color w:val="008000"/>
                <w:w w:val="86"/>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75,565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5,083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349.5675</w:t>
            </w:r>
            <w:r>
              <w:rPr>
                <w:rFonts w:ascii="Arial" w:cs="Arial" w:eastAsia="Arial" w:hAnsi="Arial"/>
                <w:sz w:val="20"/>
                <w:szCs w:val="20"/>
                <w:color w:val="008000"/>
                <w:w w:val="86"/>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70,482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350.4263</w:t>
            </w:r>
            <w:r>
              <w:rPr>
                <w:rFonts w:ascii="Arial" w:cs="Arial" w:eastAsia="Arial" w:hAnsi="Arial"/>
                <w:sz w:val="20"/>
                <w:szCs w:val="20"/>
                <w:color w:val="008000"/>
                <w:w w:val="86"/>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67,782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3,700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351.6512</w:t>
            </w:r>
            <w:r>
              <w:rPr>
                <w:rFonts w:ascii="Arial" w:cs="Arial" w:eastAsia="Arial" w:hAnsi="Arial"/>
                <w:sz w:val="20"/>
                <w:szCs w:val="20"/>
                <w:color w:val="008000"/>
                <w:w w:val="86"/>
                <w:vertAlign w:val="superscript"/>
              </w:rPr>
              <w:t>(13)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64,082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3,067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352.6065</w:t>
            </w:r>
            <w:r>
              <w:rPr>
                <w:rFonts w:ascii="Arial" w:cs="Arial" w:eastAsia="Arial" w:hAnsi="Arial"/>
                <w:sz w:val="20"/>
                <w:szCs w:val="20"/>
                <w:color w:val="008000"/>
                <w:w w:val="86"/>
                <w:vertAlign w:val="superscript"/>
              </w:rPr>
              <w:t>(14)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61,015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1,980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353.6567</w:t>
            </w:r>
            <w:r>
              <w:rPr>
                <w:rFonts w:ascii="Arial" w:cs="Arial" w:eastAsia="Arial" w:hAnsi="Arial"/>
                <w:sz w:val="20"/>
                <w:szCs w:val="20"/>
                <w:color w:val="008000"/>
                <w:w w:val="86"/>
                <w:vertAlign w:val="superscript"/>
              </w:rPr>
              <w:t>(15)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59,035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354.435</w:t>
            </w:r>
            <w:r>
              <w:rPr>
                <w:rFonts w:ascii="Arial" w:cs="Arial" w:eastAsia="Arial" w:hAnsi="Arial"/>
                <w:sz w:val="20"/>
                <w:szCs w:val="20"/>
                <w:color w:val="008000"/>
                <w:w w:val="86"/>
                <w:vertAlign w:val="superscript"/>
              </w:rPr>
              <w:t>(16)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58,635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356.07</w:t>
            </w:r>
            <w:r>
              <w:rPr>
                <w:rFonts w:ascii="Arial" w:cs="Arial" w:eastAsia="Arial" w:hAnsi="Arial"/>
                <w:sz w:val="20"/>
                <w:szCs w:val="20"/>
                <w:color w:val="008000"/>
                <w:w w:val="85"/>
                <w:vertAlign w:val="superscript"/>
              </w:rPr>
              <w:t>(17)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55,935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357.1133</w:t>
            </w:r>
            <w:r>
              <w:rPr>
                <w:rFonts w:ascii="Arial" w:cs="Arial" w:eastAsia="Arial" w:hAnsi="Arial"/>
                <w:sz w:val="20"/>
                <w:szCs w:val="20"/>
                <w:color w:val="008000"/>
                <w:w w:val="86"/>
                <w:vertAlign w:val="superscript"/>
              </w:rPr>
              <w:t>(18)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53,235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11,532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358.1048</w:t>
            </w:r>
            <w:r>
              <w:rPr>
                <w:rFonts w:ascii="Arial" w:cs="Arial" w:eastAsia="Arial" w:hAnsi="Arial"/>
                <w:sz w:val="20"/>
                <w:szCs w:val="20"/>
                <w:color w:val="008000"/>
                <w:w w:val="86"/>
                <w:vertAlign w:val="superscript"/>
              </w:rPr>
              <w:t>(19)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41,703</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6,471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358.888</w:t>
            </w:r>
            <w:r>
              <w:rPr>
                <w:rFonts w:ascii="Arial" w:cs="Arial" w:eastAsia="Arial" w:hAnsi="Arial"/>
                <w:sz w:val="20"/>
                <w:szCs w:val="20"/>
                <w:color w:val="008000"/>
                <w:w w:val="86"/>
                <w:vertAlign w:val="superscript"/>
              </w:rPr>
              <w:t>(20)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35,232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8,072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360.0165</w:t>
            </w:r>
            <w:r>
              <w:rPr>
                <w:rFonts w:ascii="Arial" w:cs="Arial" w:eastAsia="Arial" w:hAnsi="Arial"/>
                <w:sz w:val="20"/>
                <w:szCs w:val="20"/>
                <w:color w:val="008000"/>
                <w:w w:val="86"/>
                <w:vertAlign w:val="superscript"/>
              </w:rPr>
              <w:t>(21)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27,160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2,722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361.2025</w:t>
            </w:r>
            <w:r>
              <w:rPr>
                <w:rFonts w:ascii="Arial" w:cs="Arial" w:eastAsia="Arial" w:hAnsi="Arial"/>
                <w:sz w:val="20"/>
                <w:szCs w:val="20"/>
                <w:color w:val="008000"/>
                <w:w w:val="86"/>
                <w:vertAlign w:val="superscript"/>
              </w:rPr>
              <w:t>(22)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24,438</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6,598</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362.1445</w:t>
            </w:r>
            <w:r>
              <w:rPr>
                <w:rFonts w:ascii="Arial" w:cs="Arial" w:eastAsia="Arial" w:hAnsi="Arial"/>
                <w:sz w:val="20"/>
                <w:szCs w:val="20"/>
                <w:color w:val="008000"/>
                <w:w w:val="86"/>
                <w:vertAlign w:val="superscript"/>
              </w:rPr>
              <w:t>(23)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17,840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3,605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363.3776</w:t>
            </w:r>
            <w:r>
              <w:rPr>
                <w:rFonts w:ascii="Arial" w:cs="Arial" w:eastAsia="Arial" w:hAnsi="Arial"/>
                <w:sz w:val="20"/>
                <w:szCs w:val="20"/>
                <w:color w:val="008000"/>
                <w:w w:val="86"/>
                <w:vertAlign w:val="superscript"/>
              </w:rPr>
              <w:t>(24)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14,235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364.4369</w:t>
            </w:r>
            <w:r>
              <w:rPr>
                <w:rFonts w:ascii="Arial" w:cs="Arial" w:eastAsia="Arial" w:hAnsi="Arial"/>
                <w:sz w:val="20"/>
                <w:szCs w:val="20"/>
                <w:color w:val="008000"/>
                <w:w w:val="86"/>
                <w:vertAlign w:val="superscript"/>
              </w:rPr>
              <w:t>(25)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12,935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2,405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365.2319</w:t>
            </w:r>
            <w:r>
              <w:rPr>
                <w:rFonts w:ascii="Arial" w:cs="Arial" w:eastAsia="Arial" w:hAnsi="Arial"/>
                <w:sz w:val="20"/>
                <w:szCs w:val="20"/>
                <w:color w:val="008000"/>
                <w:w w:val="86"/>
                <w:vertAlign w:val="superscript"/>
              </w:rPr>
              <w:t>(26)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10,530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2,430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366.2316</w:t>
            </w:r>
            <w:r>
              <w:rPr>
                <w:rFonts w:ascii="Arial" w:cs="Arial" w:eastAsia="Arial" w:hAnsi="Arial"/>
                <w:sz w:val="20"/>
                <w:szCs w:val="20"/>
                <w:color w:val="008000"/>
                <w:w w:val="86"/>
                <w:vertAlign w:val="superscript"/>
              </w:rPr>
              <w:t>(27)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8,100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2,400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367.1483</w:t>
            </w:r>
            <w:r>
              <w:rPr>
                <w:rFonts w:ascii="Arial" w:cs="Arial" w:eastAsia="Arial" w:hAnsi="Arial"/>
                <w:sz w:val="20"/>
                <w:szCs w:val="20"/>
                <w:color w:val="008000"/>
                <w:w w:val="86"/>
                <w:vertAlign w:val="superscript"/>
              </w:rPr>
              <w:t>(28)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5,700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368.4367</w:t>
            </w:r>
            <w:r>
              <w:rPr>
                <w:rFonts w:ascii="Arial" w:cs="Arial" w:eastAsia="Arial" w:hAnsi="Arial"/>
                <w:sz w:val="20"/>
                <w:szCs w:val="20"/>
                <w:color w:val="008000"/>
                <w:w w:val="86"/>
                <w:vertAlign w:val="superscript"/>
              </w:rPr>
              <w:t>(29)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4,500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Borders>
              <w:bottom w:val="single" w:sz="8" w:color="2C2C2C"/>
            </w:tcBorders>
          </w:tcPr>
          <w:p>
            <w:pPr>
              <w:jc w:val="center"/>
              <w:ind w:left="561"/>
              <w:spacing w:after="0"/>
              <w:rPr>
                <w:sz w:val="20"/>
                <w:szCs w:val="20"/>
                <w:color w:val="auto"/>
              </w:rPr>
            </w:pPr>
            <w:r>
              <w:rPr>
                <w:rFonts w:ascii="Arial" w:cs="Arial" w:eastAsia="Arial" w:hAnsi="Arial"/>
                <w:sz w:val="16"/>
                <w:szCs w:val="16"/>
                <w:color w:val="0000FF"/>
                <w:w w:val="92"/>
              </w:rPr>
              <w:t>03/03/2021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7"/>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369.6883</w:t>
            </w:r>
            <w:r>
              <w:rPr>
                <w:rFonts w:ascii="Arial" w:cs="Arial" w:eastAsia="Arial" w:hAnsi="Arial"/>
                <w:sz w:val="20"/>
                <w:szCs w:val="20"/>
                <w:color w:val="008000"/>
                <w:w w:val="86"/>
                <w:vertAlign w:val="superscript"/>
              </w:rPr>
              <w:t>(30)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3,300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66040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9" w:right="359" w:bottom="15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0"/>
                <w:szCs w:val="10"/>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0"/>
        </w:trPr>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240" w:type="dxa"/>
            <w:vAlign w:val="bottom"/>
            <w:gridSpan w:val="11"/>
          </w:tcPr>
          <w:p>
            <w:pPr>
              <w:jc w:val="center"/>
              <w:ind w:right="108"/>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84"/>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gridSpan w:val="2"/>
          </w:tcPr>
          <w:p>
            <w:pPr>
              <w:ind w:left="60"/>
              <w:spacing w:after="0" w:line="85" w:lineRule="exact"/>
              <w:rPr>
                <w:sz w:val="20"/>
                <w:szCs w:val="20"/>
                <w:color w:val="auto"/>
              </w:rPr>
            </w:pPr>
            <w:r>
              <w:rPr>
                <w:rFonts w:ascii="Arial" w:cs="Arial" w:eastAsia="Arial" w:hAnsi="Arial"/>
                <w:sz w:val="9"/>
                <w:szCs w:val="9"/>
                <w:b w:val="1"/>
                <w:bCs w:val="1"/>
                <w:color w:val="auto"/>
              </w:rPr>
              <w:t>Execution Date,</w:t>
            </w:r>
          </w:p>
        </w:tc>
        <w:tc>
          <w:tcPr>
            <w:tcW w:w="780" w:type="dxa"/>
            <w:vAlign w:val="bottom"/>
            <w:gridSpan w:val="2"/>
          </w:tcPr>
          <w:p>
            <w:pPr>
              <w:ind w:left="80"/>
              <w:spacing w:after="0" w:line="85" w:lineRule="exact"/>
              <w:rPr>
                <w:sz w:val="20"/>
                <w:szCs w:val="20"/>
                <w:color w:val="auto"/>
              </w:rPr>
            </w:pPr>
            <w:r>
              <w:rPr>
                <w:rFonts w:ascii="Arial" w:cs="Arial" w:eastAsia="Arial" w:hAnsi="Arial"/>
                <w:sz w:val="9"/>
                <w:szCs w:val="9"/>
                <w:b w:val="1"/>
                <w:bCs w:val="1"/>
                <w:color w:val="auto"/>
              </w:rPr>
              <w:t>Transaction</w:t>
            </w:r>
          </w:p>
        </w:tc>
        <w:tc>
          <w:tcPr>
            <w:tcW w:w="840" w:type="dxa"/>
            <w:vAlign w:val="bottom"/>
            <w:gridSpan w:val="2"/>
          </w:tcPr>
          <w:p>
            <w:pPr>
              <w:ind w:left="80"/>
              <w:spacing w:after="0" w:line="85" w:lineRule="exact"/>
              <w:rPr>
                <w:sz w:val="20"/>
                <w:szCs w:val="20"/>
                <w:color w:val="auto"/>
              </w:rPr>
            </w:pPr>
            <w:r>
              <w:rPr>
                <w:rFonts w:ascii="Arial" w:cs="Arial" w:eastAsia="Arial" w:hAnsi="Arial"/>
                <w:sz w:val="9"/>
                <w:szCs w:val="9"/>
                <w:b w:val="1"/>
                <w:bCs w:val="1"/>
                <w:color w:val="auto"/>
              </w:rPr>
              <w:t>Derivative</w:t>
            </w:r>
          </w:p>
        </w:tc>
        <w:tc>
          <w:tcPr>
            <w:tcW w:w="1460" w:type="dxa"/>
            <w:vAlign w:val="bottom"/>
            <w:gridSpan w:val="2"/>
          </w:tcPr>
          <w:p>
            <w:pPr>
              <w:ind w:left="60"/>
              <w:spacing w:after="0" w:line="85" w:lineRule="exact"/>
              <w:rPr>
                <w:sz w:val="20"/>
                <w:szCs w:val="20"/>
                <w:color w:val="auto"/>
              </w:rPr>
            </w:pPr>
            <w:r>
              <w:rPr>
                <w:rFonts w:ascii="Arial" w:cs="Arial" w:eastAsia="Arial" w:hAnsi="Arial"/>
                <w:sz w:val="9"/>
                <w:szCs w:val="9"/>
                <w:b w:val="1"/>
                <w:bCs w:val="1"/>
                <w:color w:val="auto"/>
              </w:rPr>
              <w:t>Expiration Date</w:t>
            </w:r>
          </w:p>
        </w:tc>
        <w:tc>
          <w:tcPr>
            <w:tcW w:w="1440" w:type="dxa"/>
            <w:vAlign w:val="bottom"/>
            <w:gridSpan w:val="2"/>
          </w:tcPr>
          <w:p>
            <w:pPr>
              <w:ind w:left="60"/>
              <w:spacing w:after="0" w:line="85" w:lineRule="exact"/>
              <w:rPr>
                <w:sz w:val="20"/>
                <w:szCs w:val="20"/>
                <w:color w:val="auto"/>
              </w:rPr>
            </w:pPr>
            <w:r>
              <w:rPr>
                <w:rFonts w:ascii="Arial" w:cs="Arial" w:eastAsia="Arial" w:hAnsi="Arial"/>
                <w:sz w:val="9"/>
                <w:szCs w:val="9"/>
                <w:b w:val="1"/>
                <w:bCs w:val="1"/>
                <w:color w:val="auto"/>
              </w:rPr>
              <w:t>Securities Underlying</w:t>
            </w:r>
          </w:p>
        </w:tc>
        <w:tc>
          <w:tcPr>
            <w:tcW w:w="680" w:type="dxa"/>
            <w:vAlign w:val="bottom"/>
          </w:tcPr>
          <w:p>
            <w:pPr>
              <w:ind w:left="60"/>
              <w:spacing w:after="0" w:line="85" w:lineRule="exact"/>
              <w:rPr>
                <w:sz w:val="20"/>
                <w:szCs w:val="20"/>
                <w:color w:val="auto"/>
              </w:rPr>
            </w:pPr>
            <w:r>
              <w:rPr>
                <w:rFonts w:ascii="Arial" w:cs="Arial" w:eastAsia="Arial" w:hAnsi="Arial"/>
                <w:sz w:val="9"/>
                <w:szCs w:val="9"/>
                <w:b w:val="1"/>
                <w:bCs w:val="1"/>
                <w:color w:val="auto"/>
              </w:rPr>
              <w:t>Derivative</w:t>
            </w: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8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4"/>
                <w:szCs w:val="4"/>
                <w:color w:val="auto"/>
              </w:rPr>
            </w:pPr>
          </w:p>
        </w:tc>
        <w:tc>
          <w:tcPr>
            <w:tcW w:w="78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Code (Instr.</w:t>
            </w:r>
          </w:p>
        </w:tc>
        <w:tc>
          <w:tcPr>
            <w:tcW w:w="84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Securities</w:t>
            </w:r>
          </w:p>
        </w:tc>
        <w:tc>
          <w:tcPr>
            <w:tcW w:w="14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(Month/Day/Year)</w:t>
            </w:r>
          </w:p>
        </w:tc>
        <w:tc>
          <w:tcPr>
            <w:tcW w:w="144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Derivative Security</w:t>
            </w:r>
          </w:p>
        </w:tc>
        <w:tc>
          <w:tcPr>
            <w:tcW w:w="68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w:t>
            </w:r>
          </w:p>
        </w:tc>
        <w:tc>
          <w:tcPr>
            <w:tcW w:w="90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72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Form:</w:t>
            </w:r>
          </w:p>
        </w:tc>
        <w:tc>
          <w:tcPr>
            <w:tcW w:w="72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Beneficial</w:t>
            </w:r>
          </w:p>
        </w:tc>
        <w:tc>
          <w:tcPr>
            <w:tcW w:w="0" w:type="dxa"/>
            <w:vAlign w:val="bottom"/>
          </w:tcPr>
          <w:p>
            <w:pPr>
              <w:spacing w:after="0"/>
              <w:rPr>
                <w:sz w:val="1"/>
                <w:szCs w:val="1"/>
                <w:color w:val="auto"/>
              </w:rPr>
            </w:pPr>
          </w:p>
        </w:tc>
      </w:tr>
      <w:tr>
        <w:trPr>
          <w:trHeight w:val="72"/>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820" w:type="dxa"/>
            <w:vAlign w:val="bottom"/>
            <w:gridSpan w:val="9"/>
          </w:tcPr>
          <w:p>
            <w:pPr>
              <w:jc w:val="center"/>
              <w:ind w:right="160"/>
              <w:spacing w:after="0" w:line="72" w:lineRule="exact"/>
              <w:rPr>
                <w:sz w:val="20"/>
                <w:szCs w:val="20"/>
                <w:color w:val="auto"/>
              </w:rPr>
            </w:pPr>
            <w:r>
              <w:rPr>
                <w:rFonts w:ascii="Arial" w:cs="Arial" w:eastAsia="Arial" w:hAnsi="Arial"/>
                <w:sz w:val="8"/>
                <w:szCs w:val="8"/>
                <w:b w:val="1"/>
                <w:bCs w:val="1"/>
                <w:color w:val="auto"/>
              </w:rPr>
              <w:t>(e.g., puts, calls, warrants, options, convertible securities)</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1. Title of</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0"/>
                <w:szCs w:val="10"/>
                <w:color w:val="auto"/>
              </w:rPr>
            </w:pP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spacing w:after="0"/>
              <w:rPr>
                <w:sz w:val="10"/>
                <w:szCs w:val="10"/>
                <w:color w:val="auto"/>
              </w:rPr>
            </w:pPr>
          </w:p>
        </w:tc>
        <w:tc>
          <w:tcPr>
            <w:tcW w:w="840" w:type="dxa"/>
            <w:vAlign w:val="bottom"/>
          </w:tcPr>
          <w:p>
            <w:pPr>
              <w:ind w:left="520"/>
              <w:spacing w:after="0" w:line="116" w:lineRule="exact"/>
              <w:rPr>
                <w:sz w:val="20"/>
                <w:szCs w:val="20"/>
                <w:color w:val="auto"/>
              </w:rPr>
            </w:pPr>
            <w:r>
              <w:rPr>
                <w:rFonts w:ascii="Arial" w:cs="Arial" w:eastAsia="Arial" w:hAnsi="Arial"/>
                <w:sz w:val="11"/>
                <w:szCs w:val="11"/>
                <w:b w:val="1"/>
                <w:bCs w:val="1"/>
                <w:color w:val="auto"/>
              </w:rPr>
              <w:t>or</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(Instr. 4)</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25"/>
        </w:trPr>
        <w:tc>
          <w:tcPr>
            <w:tcW w:w="6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40" w:type="dxa"/>
            <w:vAlign w:val="bottom"/>
            <w:gridSpan w:val="2"/>
          </w:tcPr>
          <w:p>
            <w:pPr>
              <w:ind w:left="60"/>
              <w:spacing w:after="0"/>
              <w:rPr>
                <w:sz w:val="20"/>
                <w:szCs w:val="20"/>
                <w:color w:val="auto"/>
              </w:rPr>
            </w:pPr>
            <w:r>
              <w:rPr>
                <w:rFonts w:ascii="Arial" w:cs="Arial" w:eastAsia="Arial" w:hAnsi="Arial"/>
                <w:sz w:val="2"/>
                <w:szCs w:val="2"/>
                <w:b w:val="1"/>
                <w:bCs w:val="1"/>
                <w:color w:val="auto"/>
              </w:rPr>
              <w:t>7. Title and Amount of</w:t>
            </w:r>
          </w:p>
        </w:tc>
        <w:tc>
          <w:tcPr>
            <w:tcW w:w="680" w:type="dxa"/>
            <w:vAlign w:val="bottom"/>
            <w:vMerge w:val="continue"/>
          </w:tcPr>
          <w:p>
            <w:pPr>
              <w:spacing w:after="0"/>
              <w:rPr>
                <w:sz w:val="2"/>
                <w:szCs w:val="2"/>
                <w:color w:val="auto"/>
              </w:rPr>
            </w:pPr>
          </w:p>
        </w:tc>
        <w:tc>
          <w:tcPr>
            <w:tcW w:w="900" w:type="dxa"/>
            <w:vAlign w:val="bottom"/>
          </w:tcPr>
          <w:p>
            <w:pPr>
              <w:ind w:left="60"/>
              <w:spacing w:after="0"/>
              <w:rPr>
                <w:sz w:val="20"/>
                <w:szCs w:val="20"/>
                <w:color w:val="auto"/>
              </w:rPr>
            </w:pPr>
            <w:r>
              <w:rPr>
                <w:rFonts w:ascii="Arial" w:cs="Arial" w:eastAsia="Arial" w:hAnsi="Arial"/>
                <w:sz w:val="2"/>
                <w:szCs w:val="2"/>
                <w:b w:val="1"/>
                <w:bCs w:val="1"/>
                <w:color w:val="auto"/>
              </w:rPr>
              <w:t>9. Number of</w:t>
            </w: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68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Number of</w:t>
            </w: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25"/>
        </w:trPr>
        <w:tc>
          <w:tcPr>
            <w:tcW w:w="6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60" w:type="dxa"/>
            <w:vAlign w:val="bottom"/>
            <w:gridSpan w:val="2"/>
          </w:tcPr>
          <w:p>
            <w:pPr>
              <w:ind w:left="60"/>
              <w:spacing w:after="0"/>
              <w:rPr>
                <w:sz w:val="20"/>
                <w:szCs w:val="20"/>
                <w:color w:val="auto"/>
              </w:rPr>
            </w:pPr>
            <w:r>
              <w:rPr>
                <w:rFonts w:ascii="Arial" w:cs="Arial" w:eastAsia="Arial" w:hAnsi="Arial"/>
                <w:sz w:val="2"/>
                <w:szCs w:val="2"/>
                <w:b w:val="1"/>
                <w:bCs w:val="1"/>
                <w:color w:val="auto"/>
              </w:rPr>
              <w:t>Expiration Date</w:t>
            </w:r>
          </w:p>
        </w:tc>
        <w:tc>
          <w:tcPr>
            <w:tcW w:w="144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Securities Underlying</w:t>
            </w:r>
          </w:p>
        </w:tc>
        <w:tc>
          <w:tcPr>
            <w:tcW w:w="6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8"/>
                <w:szCs w:val="8"/>
                <w:color w:val="auto"/>
              </w:rPr>
            </w:pP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4"/>
              </w:rPr>
              <w:t>Code</w:t>
            </w:r>
          </w:p>
        </w:tc>
        <w:tc>
          <w:tcPr>
            <w:tcW w:w="420" w:type="dxa"/>
            <w:vAlign w:val="bottom"/>
          </w:tcPr>
          <w:p>
            <w:pPr>
              <w:jc w:val="center"/>
              <w:ind w:right="62"/>
              <w:spacing w:after="0" w:line="101" w:lineRule="exact"/>
              <w:rPr>
                <w:sz w:val="20"/>
                <w:szCs w:val="20"/>
                <w:color w:val="auto"/>
              </w:rPr>
            </w:pPr>
            <w:r>
              <w:rPr>
                <w:rFonts w:ascii="Arial" w:cs="Arial" w:eastAsia="Arial" w:hAnsi="Arial"/>
                <w:sz w:val="11"/>
                <w:szCs w:val="11"/>
                <w:b w:val="1"/>
                <w:bCs w:val="1"/>
                <w:color w:val="auto"/>
              </w:rPr>
              <w:t>V</w:t>
            </w:r>
          </w:p>
        </w:tc>
        <w:tc>
          <w:tcPr>
            <w:tcW w:w="30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Shares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34"/>
        </w:trPr>
        <w:tc>
          <w:tcPr>
            <w:tcW w:w="6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420" w:type="dxa"/>
            <w:vAlign w:val="bottom"/>
          </w:tcPr>
          <w:p>
            <w:pPr>
              <w:jc w:val="center"/>
              <w:ind w:right="22"/>
              <w:spacing w:after="0"/>
              <w:rPr>
                <w:sz w:val="20"/>
                <w:szCs w:val="20"/>
                <w:color w:val="auto"/>
              </w:rPr>
            </w:pPr>
            <w:r>
              <w:rPr>
                <w:rFonts w:ascii="Arial" w:cs="Arial" w:eastAsia="Arial" w:hAnsi="Arial"/>
                <w:sz w:val="3"/>
                <w:szCs w:val="3"/>
                <w:b w:val="1"/>
                <w:bCs w:val="1"/>
                <w:color w:val="auto"/>
              </w:rPr>
              <w:t>(Instr.</w:t>
            </w:r>
          </w:p>
        </w:tc>
        <w:tc>
          <w:tcPr>
            <w:tcW w:w="840" w:type="dxa"/>
            <w:vAlign w:val="bottom"/>
            <w:gridSpan w:val="2"/>
          </w:tcPr>
          <w:p>
            <w:pPr>
              <w:ind w:left="80"/>
              <w:spacing w:after="0"/>
              <w:rPr>
                <w:sz w:val="20"/>
                <w:szCs w:val="20"/>
                <w:color w:val="auto"/>
              </w:rPr>
            </w:pPr>
            <w:r>
              <w:rPr>
                <w:rFonts w:ascii="Arial" w:cs="Arial" w:eastAsia="Arial" w:hAnsi="Arial"/>
                <w:sz w:val="3"/>
                <w:szCs w:val="3"/>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3"/>
                <w:szCs w:val="3"/>
                <w:b w:val="1"/>
                <w:bCs w:val="1"/>
                <w:color w:val="auto"/>
              </w:rPr>
              <w:t>(Month/Day/Year)</w:t>
            </w:r>
          </w:p>
        </w:tc>
        <w:tc>
          <w:tcPr>
            <w:tcW w:w="1440" w:type="dxa"/>
            <w:vAlign w:val="bottom"/>
            <w:gridSpan w:val="2"/>
          </w:tcPr>
          <w:p>
            <w:pPr>
              <w:ind w:left="60"/>
              <w:spacing w:after="0"/>
              <w:rPr>
                <w:sz w:val="20"/>
                <w:szCs w:val="20"/>
                <w:color w:val="auto"/>
              </w:rPr>
            </w:pPr>
            <w:r>
              <w:rPr>
                <w:rFonts w:ascii="Arial" w:cs="Arial" w:eastAsia="Arial" w:hAnsi="Arial"/>
                <w:sz w:val="3"/>
                <w:szCs w:val="3"/>
                <w:b w:val="1"/>
                <w:bCs w:val="1"/>
                <w:color w:val="auto"/>
              </w:rPr>
              <w:t>Derivative Security</w:t>
            </w:r>
          </w:p>
        </w:tc>
        <w:tc>
          <w:tcPr>
            <w:tcW w:w="6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68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40" w:type="dxa"/>
            <w:vAlign w:val="bottom"/>
            <w:gridSpan w:val="2"/>
          </w:tcPr>
          <w:p>
            <w:pPr>
              <w:ind w:left="80"/>
              <w:spacing w:after="0" w:line="116"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ind w:left="80"/>
              <w:spacing w:after="0" w:line="129" w:lineRule="exact"/>
              <w:rPr>
                <w:sz w:val="20"/>
                <w:szCs w:val="20"/>
                <w:color w:val="auto"/>
              </w:rPr>
            </w:pPr>
            <w:r>
              <w:rPr>
                <w:rFonts w:ascii="Arial" w:cs="Arial" w:eastAsia="Arial" w:hAnsi="Arial"/>
                <w:sz w:val="13"/>
                <w:szCs w:val="13"/>
                <w:color w:val="0000FF"/>
              </w:rPr>
              <w:t>Class B</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vMerge w:val="restart"/>
          </w:tcPr>
          <w:p>
            <w:pPr>
              <w:ind w:left="240"/>
              <w:spacing w:after="0"/>
              <w:rPr>
                <w:sz w:val="20"/>
                <w:szCs w:val="20"/>
                <w:color w:val="auto"/>
              </w:rPr>
            </w:pPr>
            <w:r>
              <w:rPr>
                <w:rFonts w:ascii="Arial" w:cs="Arial" w:eastAsia="Arial" w:hAnsi="Arial"/>
                <w:sz w:val="13"/>
                <w:szCs w:val="13"/>
                <w:color w:val="0000FF"/>
              </w:rPr>
              <w:t>03/03/2021</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4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(31)</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(31)</w:t>
            </w:r>
          </w:p>
        </w:tc>
        <w:tc>
          <w:tcPr>
            <w:tcW w:w="600" w:type="dxa"/>
            <w:vAlign w:val="bottom"/>
          </w:tcPr>
          <w:p>
            <w:pPr>
              <w:ind w:left="100"/>
              <w:spacing w:after="0" w:line="129" w:lineRule="exact"/>
              <w:rPr>
                <w:sz w:val="20"/>
                <w:szCs w:val="20"/>
                <w:color w:val="auto"/>
              </w:rPr>
            </w:pPr>
            <w:r>
              <w:rPr>
                <w:rFonts w:ascii="Arial" w:cs="Arial" w:eastAsia="Arial" w:hAnsi="Arial"/>
                <w:sz w:val="13"/>
                <w:szCs w:val="13"/>
                <w:color w:val="0000FF"/>
              </w:rPr>
              <w:t>Class A</w:t>
            </w:r>
          </w:p>
        </w:tc>
        <w:tc>
          <w:tcPr>
            <w:tcW w:w="840" w:type="dxa"/>
            <w:vAlign w:val="bottom"/>
            <w:vMerge w:val="restart"/>
          </w:tcPr>
          <w:p>
            <w:pPr>
              <w:ind w:left="60"/>
              <w:spacing w:after="0"/>
              <w:rPr>
                <w:sz w:val="20"/>
                <w:szCs w:val="20"/>
                <w:color w:val="auto"/>
              </w:rPr>
            </w:pPr>
            <w:r>
              <w:rPr>
                <w:rFonts w:ascii="Arial" w:cs="Arial" w:eastAsia="Arial" w:hAnsi="Arial"/>
                <w:sz w:val="16"/>
                <w:szCs w:val="16"/>
                <w:color w:val="0000FF"/>
                <w:w w:val="93"/>
              </w:rPr>
              <w:t>150,000</w:t>
            </w:r>
            <w:r>
              <w:rPr>
                <w:rFonts w:ascii="Arial" w:cs="Arial" w:eastAsia="Arial" w:hAnsi="Arial"/>
                <w:sz w:val="20"/>
                <w:szCs w:val="20"/>
                <w:color w:val="008000"/>
                <w:w w:val="93"/>
                <w:vertAlign w:val="superscript"/>
              </w:rPr>
              <w:t>(32)</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1"/>
        </w:trPr>
        <w:tc>
          <w:tcPr>
            <w:tcW w:w="680" w:type="dxa"/>
            <w:vAlign w:val="bottom"/>
          </w:tcPr>
          <w:p>
            <w:pPr>
              <w:ind w:left="80"/>
              <w:spacing w:after="0" w:line="131" w:lineRule="exact"/>
              <w:rPr>
                <w:sz w:val="20"/>
                <w:szCs w:val="20"/>
                <w:color w:val="auto"/>
              </w:rPr>
            </w:pPr>
            <w:r>
              <w:rPr>
                <w:rFonts w:ascii="Arial" w:cs="Arial" w:eastAsia="Arial" w:hAnsi="Arial"/>
                <w:sz w:val="13"/>
                <w:szCs w:val="13"/>
                <w:color w:val="0000FF"/>
              </w:rPr>
              <w:t>Common</w:t>
            </w:r>
          </w:p>
        </w:tc>
        <w:tc>
          <w:tcPr>
            <w:tcW w:w="760" w:type="dxa"/>
            <w:vAlign w:val="bottom"/>
          </w:tcPr>
          <w:p>
            <w:pPr>
              <w:ind w:left="80"/>
              <w:spacing w:after="0" w:line="131" w:lineRule="exact"/>
              <w:rPr>
                <w:sz w:val="20"/>
                <w:szCs w:val="20"/>
                <w:color w:val="auto"/>
              </w:rPr>
            </w:pPr>
            <w:r>
              <w:rPr>
                <w:rFonts w:ascii="Arial" w:cs="Arial" w:eastAsia="Arial" w:hAnsi="Arial"/>
                <w:sz w:val="11"/>
                <w:szCs w:val="11"/>
                <w:b w:val="1"/>
                <w:bCs w:val="1"/>
                <w:color w:val="auto"/>
                <w:w w:val="99"/>
              </w:rPr>
              <w:t>Security</w:t>
            </w:r>
            <w:r>
              <w:rPr>
                <w:rFonts w:ascii="Arial" w:cs="Arial" w:eastAsia="Arial" w:hAnsi="Arial"/>
                <w:sz w:val="11"/>
                <w:szCs w:val="11"/>
                <w:color w:val="auto"/>
                <w:w w:val="99"/>
              </w:rPr>
              <w:t>$</w:t>
            </w:r>
            <w:r>
              <w:rPr>
                <w:rFonts w:ascii="Arial" w:cs="Arial" w:eastAsia="Arial" w:hAnsi="Arial"/>
                <w:sz w:val="12"/>
                <w:szCs w:val="12"/>
                <w:color w:val="0000FF"/>
                <w:w w:val="99"/>
              </w:rPr>
              <w:t>0.0</w:t>
            </w:r>
          </w:p>
        </w:tc>
        <w:tc>
          <w:tcPr>
            <w:tcW w:w="10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gridSpan w:val="2"/>
          </w:tcPr>
          <w:p>
            <w:pPr>
              <w:ind w:left="80"/>
              <w:spacing w:after="0" w:line="131" w:lineRule="exact"/>
              <w:rPr>
                <w:sz w:val="20"/>
                <w:szCs w:val="20"/>
                <w:color w:val="auto"/>
              </w:rPr>
            </w:pPr>
            <w:r>
              <w:rPr>
                <w:rFonts w:ascii="Arial" w:cs="Arial" w:eastAsia="Arial" w:hAnsi="Arial"/>
                <w:sz w:val="11"/>
                <w:szCs w:val="11"/>
                <w:b w:val="1"/>
                <w:bCs w:val="1"/>
                <w:color w:val="auto"/>
                <w:w w:val="72"/>
              </w:rPr>
              <w:t>of (D)</w:t>
            </w:r>
            <w:r>
              <w:rPr>
                <w:rFonts w:ascii="Arial" w:cs="Arial" w:eastAsia="Arial" w:hAnsi="Arial"/>
                <w:sz w:val="12"/>
                <w:szCs w:val="12"/>
                <w:color w:val="0000FF"/>
                <w:w w:val="72"/>
              </w:rPr>
              <w:t>150,000</w:t>
            </w:r>
            <w:r>
              <w:rPr>
                <w:rFonts w:ascii="Arial" w:cs="Arial" w:eastAsia="Arial" w:hAnsi="Arial"/>
                <w:sz w:val="11"/>
                <w:szCs w:val="11"/>
                <w:b w:val="1"/>
                <w:bCs w:val="1"/>
                <w:color w:val="auto"/>
                <w:w w:val="72"/>
              </w:rPr>
              <w:t>(Instr.</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ind w:left="60"/>
              <w:spacing w:after="0" w:line="131" w:lineRule="exact"/>
              <w:rPr>
                <w:sz w:val="20"/>
                <w:szCs w:val="20"/>
                <w:color w:val="auto"/>
              </w:rPr>
            </w:pPr>
            <w:r>
              <w:rPr>
                <w:rFonts w:ascii="Arial" w:cs="Arial" w:eastAsia="Arial" w:hAnsi="Arial"/>
                <w:sz w:val="13"/>
                <w:szCs w:val="13"/>
                <w:color w:val="0000FF"/>
                <w:w w:val="98"/>
              </w:rPr>
              <w:t>Common</w:t>
            </w:r>
          </w:p>
        </w:tc>
        <w:tc>
          <w:tcPr>
            <w:tcW w:w="8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00" w:type="dxa"/>
            <w:vAlign w:val="bottom"/>
          </w:tcPr>
          <w:p>
            <w:pPr>
              <w:ind w:left="60"/>
              <w:spacing w:after="0" w:line="131" w:lineRule="exact"/>
              <w:rPr>
                <w:sz w:val="20"/>
                <w:szCs w:val="20"/>
                <w:color w:val="auto"/>
              </w:rPr>
            </w:pPr>
            <w:r>
              <w:rPr>
                <w:rFonts w:ascii="Arial" w:cs="Arial" w:eastAsia="Arial" w:hAnsi="Arial"/>
                <w:sz w:val="11"/>
                <w:szCs w:val="11"/>
                <w:b w:val="1"/>
                <w:bCs w:val="1"/>
                <w:color w:val="auto"/>
                <w:w w:val="86"/>
              </w:rPr>
              <w:t>Following</w:t>
            </w:r>
            <w:r>
              <w:rPr>
                <w:rFonts w:ascii="Arial" w:cs="Arial" w:eastAsia="Arial" w:hAnsi="Arial"/>
                <w:sz w:val="12"/>
                <w:szCs w:val="12"/>
                <w:color w:val="0000FF"/>
                <w:w w:val="86"/>
              </w:rPr>
              <w:t>110,000</w:t>
            </w:r>
          </w:p>
        </w:tc>
        <w:tc>
          <w:tcPr>
            <w:tcW w:w="720" w:type="dxa"/>
            <w:vAlign w:val="bottom"/>
          </w:tcPr>
          <w:p>
            <w:pPr>
              <w:ind w:left="60"/>
              <w:spacing w:after="0" w:line="131" w:lineRule="exact"/>
              <w:rPr>
                <w:sz w:val="20"/>
                <w:szCs w:val="20"/>
                <w:color w:val="auto"/>
              </w:rPr>
            </w:pPr>
            <w:r>
              <w:rPr>
                <w:rFonts w:ascii="Arial" w:cs="Arial" w:eastAsia="Arial" w:hAnsi="Arial"/>
                <w:sz w:val="11"/>
                <w:szCs w:val="11"/>
                <w:b w:val="1"/>
                <w:bCs w:val="1"/>
                <w:color w:val="auto"/>
                <w:w w:val="97"/>
              </w:rPr>
              <w:t>(I) (Instr</w:t>
            </w:r>
            <w:r>
              <w:rPr>
                <w:rFonts w:ascii="Arial" w:cs="Arial" w:eastAsia="Arial" w:hAnsi="Arial"/>
                <w:sz w:val="12"/>
                <w:szCs w:val="12"/>
                <w:color w:val="0000FF"/>
                <w:w w:val="97"/>
              </w:rPr>
              <w:t>D</w:t>
            </w:r>
            <w:r>
              <w:rPr>
                <w:rFonts w:ascii="Arial" w:cs="Arial" w:eastAsia="Arial" w:hAnsi="Arial"/>
                <w:sz w:val="11"/>
                <w:szCs w:val="11"/>
                <w:b w:val="1"/>
                <w:bCs w:val="1"/>
                <w:color w:val="auto"/>
                <w:w w:val="97"/>
              </w:rPr>
              <w:t>.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80"/>
              <w:spacing w:after="0" w:line="12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500" w:type="dxa"/>
            <w:vAlign w:val="bottom"/>
            <w:gridSpan w:val="3"/>
            <w:vMerge w:val="continue"/>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ind w:left="60"/>
              <w:spacing w:after="0" w:line="11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620" w:type="dxa"/>
            <w:vAlign w:val="bottom"/>
            <w:gridSpan w:val="11"/>
          </w:tcPr>
          <w:p>
            <w:pPr>
              <w:ind w:left="40"/>
              <w:spacing w:after="0" w:line="76" w:lineRule="exact"/>
              <w:rPr>
                <w:sz w:val="20"/>
                <w:szCs w:val="20"/>
                <w:color w:val="auto"/>
              </w:rPr>
            </w:pPr>
            <w:r>
              <w:rPr>
                <w:rFonts w:ascii="Arial" w:cs="Arial" w:eastAsia="Arial" w:hAnsi="Arial"/>
                <w:sz w:val="8"/>
                <w:szCs w:val="8"/>
                <w:color w:val="008000"/>
              </w:rPr>
              <w:t>1. The sales reported on this Form 4 were effected pursuant to a Rule 10b5-1 trading plan adopted by the Reporting Person.</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Code</w:t>
            </w:r>
          </w:p>
        </w:tc>
        <w:tc>
          <w:tcPr>
            <w:tcW w:w="420" w:type="dxa"/>
            <w:vAlign w:val="bottom"/>
          </w:tcPr>
          <w:p>
            <w:pPr>
              <w:jc w:val="center"/>
              <w:ind w:right="62"/>
              <w:spacing w:after="0" w:line="77" w:lineRule="exact"/>
              <w:rPr>
                <w:sz w:val="20"/>
                <w:szCs w:val="20"/>
                <w:color w:val="auto"/>
              </w:rPr>
            </w:pPr>
            <w:r>
              <w:rPr>
                <w:rFonts w:ascii="Arial" w:cs="Arial" w:eastAsia="Arial" w:hAnsi="Arial"/>
                <w:sz w:val="8"/>
                <w:szCs w:val="8"/>
                <w:b w:val="1"/>
                <w:bCs w:val="1"/>
                <w:color w:val="auto"/>
              </w:rPr>
              <w:t>V</w:t>
            </w:r>
          </w:p>
        </w:tc>
        <w:tc>
          <w:tcPr>
            <w:tcW w:w="30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(A)</w:t>
            </w:r>
          </w:p>
        </w:tc>
        <w:tc>
          <w:tcPr>
            <w:tcW w:w="54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(D)</w:t>
            </w:r>
          </w:p>
        </w:tc>
        <w:tc>
          <w:tcPr>
            <w:tcW w:w="76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Exercisable</w:t>
            </w:r>
          </w:p>
        </w:tc>
        <w:tc>
          <w:tcPr>
            <w:tcW w:w="70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Date</w:t>
            </w: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40" w:right="360" w:hanging="2"/>
        <w:spacing w:after="0" w:line="29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drawing>
          <wp:anchor simplePos="0" relativeHeight="251657728" behindDoc="1" locked="0" layoutInCell="0" allowOverlap="1">
            <wp:simplePos x="0" y="0"/>
            <wp:positionH relativeFrom="page">
              <wp:posOffset>292100</wp:posOffset>
            </wp:positionH>
            <wp:positionV relativeFrom="page">
              <wp:posOffset>88900</wp:posOffset>
            </wp:positionV>
            <wp:extent cx="7035800" cy="1750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800" cy="1750695"/>
                    </a:xfrm>
                    <a:prstGeom prst="rect">
                      <a:avLst/>
                    </a:prstGeom>
                    <a:noFill/>
                  </pic:spPr>
                </pic:pic>
              </a:graphicData>
            </a:graphic>
          </wp:anchor>
        </w:drawing>
        <w:t>The price reported in column 4 is a weighted average price. These shares were sold in multiple transactions at prices ranging from $339.95 to $340.93.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60" w:hanging="2"/>
        <w:spacing w:after="0" w:line="30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$340.95 to $341.94.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60" w:hanging="2"/>
        <w:spacing w:after="0" w:line="30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$341.96 to $342.95.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60" w:hanging="2"/>
        <w:spacing w:after="0" w:line="30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$342.98 to $343.96.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60" w:hanging="2"/>
        <w:spacing w:after="0" w:line="30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$343.99 to $344.96.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60" w:hanging="2"/>
        <w:spacing w:after="0" w:line="30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$345.03 to $346.00.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60" w:hanging="2"/>
        <w:spacing w:after="0" w:line="30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$346.05 to $347.03.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60" w:hanging="2"/>
        <w:spacing w:after="0" w:line="30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$347.06 to $348.05.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$348.06 to $349.05.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$349.06 to $350.05.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$350.06 to $350.80.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$351.13 to $352.07.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$352.13 to $353.12.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$353.14 to $354.13.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$354.14 to $354.97.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$355.44 to $356.41.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$356.51 to $357.45.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$357.52 to $358.51.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$358.52 to $359.49.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$359.54 to $360.52.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$360.64 to $361.63.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$361.74 to $362.71.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$362.78 to $363.76.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$363.79 to $364.69.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$364.79 to $365.75.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$365.81 to $366.79.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$366.82 to $367.62.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$367.89 to $368.71.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309"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$369.18 to $370.12.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76" w:lineRule="auto"/>
        <w:tabs>
          <w:tab w:leader="none" w:pos="2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2" w:lineRule="exact"/>
        <w:rPr>
          <w:rFonts w:ascii="Arial" w:cs="Arial" w:eastAsia="Arial" w:hAnsi="Arial"/>
          <w:sz w:val="11"/>
          <w:szCs w:val="11"/>
          <w:color w:val="008000"/>
        </w:rPr>
      </w:pPr>
    </w:p>
    <w:p>
      <w:pPr>
        <w:ind w:left="220" w:hanging="182"/>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58,334 shares are subject to the Issuer's right to repurchase as of the date hereof.</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03/05/2021</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80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2021-03-05T19:04:26Z</dcterms:created>
  <dcterms:modified xsi:type="dcterms:W3CDTF">2021-03-05T19:04:26Z</dcterms:modified>
</cp:coreProperties>
</file>