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5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3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53"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3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Zoom Video Communications, Inc.</w:t>
      </w:r>
    </w:p>
    <w:p>
      <w:pPr>
        <w:spacing w:after="0" w:line="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CLASS A COMMON STOCK, $0.001 PAR VALUE PER SHARE</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98980L101</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w:t>
      </w: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333" w:lineRule="exact"/>
        <w:rPr>
          <w:sz w:val="24"/>
          <w:szCs w:val="24"/>
          <w:color w:val="auto"/>
        </w:rPr>
      </w:pPr>
    </w:p>
    <w:p>
      <w:pPr>
        <w:ind w:left="1180" w:hanging="200"/>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180" w:hanging="200"/>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180" w:hanging="200"/>
        <w:spacing w:after="0"/>
        <w:tabs>
          <w:tab w:leader="none" w:pos="118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306" w:lineRule="exact"/>
        <w:rPr>
          <w:rFonts w:ascii="MS PGothic" w:cs="MS PGothic" w:eastAsia="MS PGothic" w:hAnsi="MS PGothic"/>
          <w:sz w:val="18"/>
          <w:szCs w:val="18"/>
          <w:color w:val="auto"/>
        </w:rPr>
      </w:pPr>
    </w:p>
    <w:p>
      <w:pPr>
        <w:ind w:left="680" w:hanging="648"/>
        <w:spacing w:after="0" w:line="237"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9"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320" w:top="1199" w:right="379" w:bottom="1440" w:gutter="0" w:footer="0" w:header="0"/>
        </w:sectPr>
      </w:pPr>
    </w:p>
    <w:bookmarkStart w:id="1" w:name="page2"/>
    <w:bookmarkEnd w:id="1"/>
    <w:p>
      <w:pPr>
        <w:ind w:left="12"/>
        <w:spacing w:after="0"/>
        <w:tabs>
          <w:tab w:leader="none" w:pos="4932" w:val="left"/>
          <w:tab w:leader="none" w:pos="9972" w:val="left"/>
        </w:tabs>
        <w:rPr>
          <w:sz w:val="20"/>
          <w:szCs w:val="20"/>
          <w:color w:val="auto"/>
        </w:rPr>
      </w:pPr>
      <w:r>
        <w:rPr>
          <w:rFonts w:ascii="Times New Roman" w:cs="Times New Roman" w:eastAsia="Times New Roman" w:hAnsi="Times New Roman"/>
          <w:sz w:val="18"/>
          <w:szCs w:val="18"/>
          <w:color w:val="auto"/>
        </w:rPr>
        <w:t>CUSIP No. 9890L101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651510</wp:posOffset>
            </wp:positionV>
            <wp:extent cx="6858000" cy="4758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475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12" w:right="7480" w:hanging="435"/>
        <w:spacing w:after="0" w:line="367" w:lineRule="auto"/>
        <w:tabs>
          <w:tab w:leader="none" w:pos="9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Eric S. Yuan</w:t>
      </w:r>
    </w:p>
    <w:p>
      <w:pPr>
        <w:ind w:left="912" w:hanging="435"/>
        <w:spacing w:after="0" w:line="229" w:lineRule="auto"/>
        <w:tabs>
          <w:tab w:leader="none" w:pos="9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ind w:left="912"/>
        <w:spacing w:after="0" w:line="207" w:lineRule="exact"/>
        <w:tabs>
          <w:tab w:leader="none" w:pos="1692"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39" w:lineRule="exact"/>
        <w:rPr>
          <w:sz w:val="20"/>
          <w:szCs w:val="20"/>
          <w:color w:val="auto"/>
        </w:rPr>
      </w:pPr>
    </w:p>
    <w:p>
      <w:pPr>
        <w:ind w:left="912" w:hanging="435"/>
        <w:spacing w:after="0"/>
        <w:tabs>
          <w:tab w:leader="none" w:pos="9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52" w:lineRule="exact"/>
        <w:rPr>
          <w:rFonts w:ascii="Times New Roman" w:cs="Times New Roman" w:eastAsia="Times New Roman" w:hAnsi="Times New Roman"/>
          <w:sz w:val="18"/>
          <w:szCs w:val="18"/>
          <w:color w:val="auto"/>
        </w:rPr>
      </w:pPr>
    </w:p>
    <w:p>
      <w:pPr>
        <w:ind w:left="912" w:right="6600" w:hanging="435"/>
        <w:spacing w:after="0" w:line="367" w:lineRule="auto"/>
        <w:tabs>
          <w:tab w:leader="none" w:pos="9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ind w:left="2712" w:hanging="305"/>
        <w:spacing w:after="0" w:line="184" w:lineRule="auto"/>
        <w:tabs>
          <w:tab w:leader="none" w:pos="2712" w:val="left"/>
        </w:tabs>
        <w:numPr>
          <w:ilvl w:val="1"/>
          <w:numId w:val="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SOLE VOTING POWER</w:t>
      </w:r>
    </w:p>
    <w:p>
      <w:pPr>
        <w:spacing w:after="0" w:line="138" w:lineRule="exact"/>
        <w:rPr>
          <w:sz w:val="20"/>
          <w:szCs w:val="20"/>
          <w:color w:val="auto"/>
        </w:rPr>
      </w:pPr>
    </w:p>
    <w:tbl>
      <w:tblPr>
        <w:tblLayout w:type="fixed"/>
        <w:tblInd w:w="672" w:type="dxa"/>
        <w:tblCellMar>
          <w:top w:w="0" w:type="dxa"/>
          <w:left w:w="0" w:type="dxa"/>
          <w:bottom w:w="0" w:type="dxa"/>
          <w:right w:w="0" w:type="dxa"/>
        </w:tblCellMar>
      </w:tblPr>
      <w:tr>
        <w:trPr>
          <w:trHeight w:val="214"/>
        </w:trPr>
        <w:tc>
          <w:tcPr>
            <w:tcW w:w="1580" w:type="dxa"/>
            <w:vAlign w:val="bottom"/>
            <w:vMerge w:val="restart"/>
          </w:tcPr>
          <w:p>
            <w:pPr>
              <w:jc w:val="center"/>
              <w:ind w:right="252"/>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18"/>
                <w:szCs w:val="18"/>
                <w:color w:val="auto"/>
              </w:rPr>
            </w:pPr>
          </w:p>
        </w:tc>
        <w:tc>
          <w:tcPr>
            <w:tcW w:w="8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23,284,333(1)(5)</w:t>
            </w:r>
          </w:p>
        </w:tc>
        <w:tc>
          <w:tcPr>
            <w:tcW w:w="0" w:type="dxa"/>
            <w:vAlign w:val="bottom"/>
          </w:tcPr>
          <w:p>
            <w:pPr>
              <w:spacing w:after="0"/>
              <w:rPr>
                <w:sz w:val="1"/>
                <w:szCs w:val="1"/>
                <w:color w:val="auto"/>
              </w:rPr>
            </w:pPr>
          </w:p>
        </w:tc>
      </w:tr>
      <w:tr>
        <w:trPr>
          <w:trHeight w:val="88"/>
        </w:trPr>
        <w:tc>
          <w:tcPr>
            <w:tcW w:w="1580" w:type="dxa"/>
            <w:vAlign w:val="bottom"/>
            <w:vMerge w:val="continue"/>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8"/>
        </w:trPr>
        <w:tc>
          <w:tcPr>
            <w:tcW w:w="1580" w:type="dxa"/>
            <w:vAlign w:val="bottom"/>
            <w:vMerge w:val="restart"/>
          </w:tcPr>
          <w:p>
            <w:pPr>
              <w:jc w:val="center"/>
              <w:ind w:right="252"/>
              <w:spacing w:after="0" w:line="176" w:lineRule="exact"/>
              <w:rPr>
                <w:sz w:val="20"/>
                <w:szCs w:val="20"/>
                <w:color w:val="auto"/>
              </w:rPr>
            </w:pPr>
            <w:r>
              <w:rPr>
                <w:rFonts w:ascii="Times New Roman" w:cs="Times New Roman" w:eastAsia="Times New Roman" w:hAnsi="Times New Roman"/>
                <w:sz w:val="18"/>
                <w:szCs w:val="18"/>
                <w:color w:val="auto"/>
                <w:w w:val="98"/>
              </w:rPr>
              <w:t>SHARES</w:t>
            </w:r>
          </w:p>
        </w:tc>
        <w:tc>
          <w:tcPr>
            <w:tcW w:w="380" w:type="dxa"/>
            <w:vAlign w:val="bottom"/>
            <w:vMerge w:val="continue"/>
          </w:tcPr>
          <w:p>
            <w:pPr>
              <w:spacing w:after="0"/>
              <w:rPr>
                <w:sz w:val="12"/>
                <w:szCs w:val="12"/>
                <w:color w:val="auto"/>
              </w:rPr>
            </w:pPr>
          </w:p>
        </w:tc>
        <w:tc>
          <w:tcPr>
            <w:tcW w:w="8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58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580" w:type="dxa"/>
            <w:vAlign w:val="bottom"/>
          </w:tcPr>
          <w:p>
            <w:pPr>
              <w:jc w:val="center"/>
              <w:ind w:right="232"/>
              <w:spacing w:after="0" w:line="176" w:lineRule="exact"/>
              <w:rPr>
                <w:sz w:val="20"/>
                <w:szCs w:val="20"/>
                <w:color w:val="auto"/>
              </w:rPr>
            </w:pPr>
            <w:r>
              <w:rPr>
                <w:rFonts w:ascii="Times New Roman" w:cs="Times New Roman" w:eastAsia="Times New Roman" w:hAnsi="Times New Roman"/>
                <w:sz w:val="18"/>
                <w:szCs w:val="18"/>
                <w:color w:val="auto"/>
                <w:w w:val="97"/>
              </w:rPr>
              <w:t>BENEFICIALLY</w:t>
            </w:r>
          </w:p>
        </w:tc>
        <w:tc>
          <w:tcPr>
            <w:tcW w:w="380" w:type="dxa"/>
            <w:vAlign w:val="bottom"/>
          </w:tcPr>
          <w:p>
            <w:pPr>
              <w:spacing w:after="0"/>
              <w:rPr>
                <w:sz w:val="15"/>
                <w:szCs w:val="15"/>
                <w:color w:val="auto"/>
              </w:rPr>
            </w:pPr>
          </w:p>
        </w:tc>
        <w:tc>
          <w:tcPr>
            <w:tcW w:w="8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20,000,000(2)(5)</w:t>
            </w:r>
          </w:p>
        </w:tc>
        <w:tc>
          <w:tcPr>
            <w:tcW w:w="0" w:type="dxa"/>
            <w:vAlign w:val="bottom"/>
          </w:tcPr>
          <w:p>
            <w:pPr>
              <w:spacing w:after="0"/>
              <w:rPr>
                <w:sz w:val="1"/>
                <w:szCs w:val="1"/>
                <w:color w:val="auto"/>
              </w:rPr>
            </w:pPr>
          </w:p>
        </w:tc>
      </w:tr>
      <w:tr>
        <w:trPr>
          <w:trHeight w:val="189"/>
        </w:trPr>
        <w:tc>
          <w:tcPr>
            <w:tcW w:w="1580" w:type="dxa"/>
            <w:vAlign w:val="bottom"/>
          </w:tcPr>
          <w:p>
            <w:pPr>
              <w:jc w:val="center"/>
              <w:ind w:right="252"/>
              <w:spacing w:after="0" w:line="189" w:lineRule="exact"/>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16"/>
                <w:szCs w:val="16"/>
                <w:color w:val="auto"/>
              </w:rPr>
            </w:pPr>
          </w:p>
        </w:tc>
        <w:tc>
          <w:tcPr>
            <w:tcW w:w="8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80" w:type="dxa"/>
            <w:vAlign w:val="bottom"/>
          </w:tcPr>
          <w:p>
            <w:pPr>
              <w:jc w:val="center"/>
              <w:ind w:right="252"/>
              <w:spacing w:after="0" w:line="182" w:lineRule="exact"/>
              <w:rPr>
                <w:sz w:val="20"/>
                <w:szCs w:val="20"/>
                <w:color w:val="auto"/>
              </w:rPr>
            </w:pPr>
            <w:r>
              <w:rPr>
                <w:rFonts w:ascii="Times New Roman" w:cs="Times New Roman" w:eastAsia="Times New Roman" w:hAnsi="Times New Roman"/>
                <w:sz w:val="18"/>
                <w:szCs w:val="18"/>
                <w:color w:val="auto"/>
                <w:w w:val="97"/>
              </w:rPr>
              <w:t>EACH</w:t>
            </w:r>
          </w:p>
        </w:tc>
        <w:tc>
          <w:tcPr>
            <w:tcW w:w="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35"/>
        </w:trPr>
        <w:tc>
          <w:tcPr>
            <w:tcW w:w="1580" w:type="dxa"/>
            <w:vAlign w:val="bottom"/>
          </w:tcPr>
          <w:p>
            <w:pPr>
              <w:jc w:val="center"/>
              <w:ind w:right="252"/>
              <w:spacing w:after="0" w:line="135" w:lineRule="exact"/>
              <w:rPr>
                <w:sz w:val="20"/>
                <w:szCs w:val="20"/>
                <w:color w:val="auto"/>
              </w:rPr>
            </w:pPr>
            <w:r>
              <w:rPr>
                <w:rFonts w:ascii="Times New Roman" w:cs="Times New Roman" w:eastAsia="Times New Roman" w:hAnsi="Times New Roman"/>
                <w:sz w:val="15"/>
                <w:szCs w:val="15"/>
                <w:color w:val="auto"/>
              </w:rPr>
              <w:t>REPORTING</w:t>
            </w:r>
          </w:p>
        </w:tc>
        <w:tc>
          <w:tcPr>
            <w:tcW w:w="38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80" w:type="dxa"/>
            <w:vAlign w:val="bottom"/>
          </w:tcPr>
          <w:p>
            <w:pPr>
              <w:jc w:val="center"/>
              <w:ind w:right="252"/>
              <w:spacing w:after="0" w:line="176" w:lineRule="exact"/>
              <w:rPr>
                <w:sz w:val="20"/>
                <w:szCs w:val="20"/>
                <w:color w:val="auto"/>
              </w:rPr>
            </w:pPr>
            <w:r>
              <w:rPr>
                <w:rFonts w:ascii="Times New Roman" w:cs="Times New Roman" w:eastAsia="Times New Roman" w:hAnsi="Times New Roman"/>
                <w:sz w:val="18"/>
                <w:szCs w:val="18"/>
                <w:color w:val="auto"/>
                <w:w w:val="98"/>
              </w:rPr>
              <w:t>PERSON</w:t>
            </w:r>
          </w:p>
        </w:tc>
        <w:tc>
          <w:tcPr>
            <w:tcW w:w="380" w:type="dxa"/>
            <w:vAlign w:val="bottom"/>
          </w:tcPr>
          <w:p>
            <w:pPr>
              <w:spacing w:after="0"/>
              <w:rPr>
                <w:sz w:val="15"/>
                <w:szCs w:val="15"/>
                <w:color w:val="auto"/>
              </w:rPr>
            </w:pPr>
          </w:p>
        </w:tc>
        <w:tc>
          <w:tcPr>
            <w:tcW w:w="8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23,284,333(3)(5)</w:t>
            </w:r>
          </w:p>
        </w:tc>
        <w:tc>
          <w:tcPr>
            <w:tcW w:w="0" w:type="dxa"/>
            <w:vAlign w:val="bottom"/>
          </w:tcPr>
          <w:p>
            <w:pPr>
              <w:spacing w:after="0"/>
              <w:rPr>
                <w:sz w:val="1"/>
                <w:szCs w:val="1"/>
                <w:color w:val="auto"/>
              </w:rPr>
            </w:pPr>
          </w:p>
        </w:tc>
      </w:tr>
      <w:tr>
        <w:trPr>
          <w:trHeight w:val="135"/>
        </w:trPr>
        <w:tc>
          <w:tcPr>
            <w:tcW w:w="1580" w:type="dxa"/>
            <w:vAlign w:val="bottom"/>
            <w:vMerge w:val="restart"/>
          </w:tcPr>
          <w:p>
            <w:pPr>
              <w:jc w:val="center"/>
              <w:ind w:right="252"/>
              <w:spacing w:after="0"/>
              <w:rPr>
                <w:sz w:val="20"/>
                <w:szCs w:val="20"/>
                <w:color w:val="auto"/>
              </w:rPr>
            </w:pPr>
            <w:r>
              <w:rPr>
                <w:rFonts w:ascii="Times New Roman" w:cs="Times New Roman" w:eastAsia="Times New Roman" w:hAnsi="Times New Roman"/>
                <w:sz w:val="18"/>
                <w:szCs w:val="18"/>
                <w:color w:val="auto"/>
              </w:rPr>
              <w:t>WITH</w:t>
            </w:r>
          </w:p>
        </w:tc>
        <w:tc>
          <w:tcPr>
            <w:tcW w:w="380" w:type="dxa"/>
            <w:vAlign w:val="bottom"/>
            <w:tcBorders>
              <w:bottom w:val="single" w:sz="8" w:color="auto"/>
            </w:tcBorders>
          </w:tcPr>
          <w:p>
            <w:pPr>
              <w:spacing w:after="0"/>
              <w:rPr>
                <w:sz w:val="11"/>
                <w:szCs w:val="11"/>
                <w:color w:val="auto"/>
              </w:rPr>
            </w:pPr>
          </w:p>
        </w:tc>
        <w:tc>
          <w:tcPr>
            <w:tcW w:w="85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580" w:type="dxa"/>
            <w:vAlign w:val="bottom"/>
            <w:vMerge w:val="continue"/>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8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712"/>
        <w:spacing w:after="0"/>
        <w:rPr>
          <w:sz w:val="20"/>
          <w:szCs w:val="20"/>
          <w:color w:val="auto"/>
        </w:rPr>
      </w:pPr>
      <w:r>
        <w:rPr>
          <w:rFonts w:ascii="Times New Roman" w:cs="Times New Roman" w:eastAsia="Times New Roman" w:hAnsi="Times New Roman"/>
          <w:sz w:val="18"/>
          <w:szCs w:val="18"/>
          <w:color w:val="auto"/>
        </w:rPr>
        <w:t>20,000,000(4)(5)</w:t>
      </w:r>
    </w:p>
    <w:p>
      <w:pPr>
        <w:spacing w:after="0" w:line="36" w:lineRule="exact"/>
        <w:rPr>
          <w:sz w:val="20"/>
          <w:szCs w:val="20"/>
          <w:color w:val="auto"/>
        </w:rPr>
      </w:pPr>
    </w:p>
    <w:p>
      <w:pPr>
        <w:ind w:left="472"/>
        <w:spacing w:after="0"/>
        <w:tabs>
          <w:tab w:leader="none" w:pos="932"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185"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43,284,333</w:t>
      </w:r>
    </w:p>
    <w:p>
      <w:pPr>
        <w:spacing w:after="0" w:line="36" w:lineRule="exact"/>
        <w:rPr>
          <w:sz w:val="20"/>
          <w:szCs w:val="20"/>
          <w:color w:val="auto"/>
        </w:rPr>
      </w:pPr>
    </w:p>
    <w:p>
      <w:pPr>
        <w:ind w:left="952" w:hanging="475"/>
        <w:spacing w:after="0"/>
        <w:tabs>
          <w:tab w:leader="none" w:pos="9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156" w:lineRule="exact"/>
        <w:rPr>
          <w:sz w:val="20"/>
          <w:szCs w:val="20"/>
          <w:color w:val="auto"/>
        </w:rPr>
      </w:pPr>
    </w:p>
    <w:p>
      <w:pPr>
        <w:ind w:left="992"/>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912" w:right="5320" w:hanging="435"/>
        <w:spacing w:after="0" w:line="361" w:lineRule="auto"/>
        <w:tabs>
          <w:tab w:leader="none" w:pos="9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17.2%(5)(6)(7)</w:t>
      </w:r>
    </w:p>
    <w:p>
      <w:pPr>
        <w:ind w:left="912" w:hanging="435"/>
        <w:spacing w:after="0"/>
        <w:tabs>
          <w:tab w:leader="none" w:pos="9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185" w:lineRule="exact"/>
        <w:rPr>
          <w:sz w:val="20"/>
          <w:szCs w:val="20"/>
          <w:color w:val="auto"/>
        </w:rPr>
      </w:pPr>
    </w:p>
    <w:p>
      <w:pPr>
        <w:ind w:left="992"/>
        <w:spacing w:after="0"/>
        <w:rPr>
          <w:sz w:val="20"/>
          <w:szCs w:val="20"/>
          <w:color w:val="auto"/>
        </w:rPr>
      </w:pPr>
      <w:r>
        <w:rPr>
          <w:rFonts w:ascii="Times New Roman" w:cs="Times New Roman" w:eastAsia="Times New Roman" w:hAnsi="Times New Roman"/>
          <w:sz w:val="18"/>
          <w:szCs w:val="18"/>
          <w:color w:val="auto"/>
        </w:rPr>
        <w:t>IN</w:t>
      </w:r>
    </w:p>
    <w:p>
      <w:pPr>
        <w:spacing w:after="0" w:line="374" w:lineRule="exact"/>
        <w:rPr>
          <w:sz w:val="20"/>
          <w:szCs w:val="20"/>
          <w:color w:val="auto"/>
        </w:rPr>
      </w:pPr>
    </w:p>
    <w:p>
      <w:pPr>
        <w:ind w:left="332" w:right="300" w:hanging="332"/>
        <w:spacing w:after="0" w:line="261" w:lineRule="auto"/>
        <w:tabs>
          <w:tab w:leader="none" w:pos="3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22,832,938 shares of Class B Common Stock held of record by Mr. Yuan, 451,395 shares of Class B Common Stock subject to options exercisable within 60 days of December 31, 2020, of which 281,250 shares of Class B Common Stock are vested as of such date.</w:t>
      </w:r>
    </w:p>
    <w:p>
      <w:pPr>
        <w:ind w:left="332" w:right="20" w:hanging="332"/>
        <w:spacing w:after="0" w:line="250" w:lineRule="auto"/>
        <w:tabs>
          <w:tab w:leader="none" w:pos="3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9,108,250 shares of Class B Common Stock held of record by Zheng Yuan and Hongyu Zhang, cotrustees of the Zheng Yuan 2019 Grantor Retained Annuity Trust, for which Mr. Yuan and his spouse serve as cotrustees, 9,108,250 shares of Class B Common Stock held of record by Zheng Yuan and Hongyu Zhang, cotrustees of the Hongyu Zhang 2019 Grantor Retained Annuity Trust, for which Mr. Yuan and his spouse serve as cotrustees, and 1,783,500 shares of Class B Common Stock held of record by Zheng Yuan and Hongyu Zhang, cotrustees of the 2018 Yuan and Zhang Revocable Trust, for which Mr. Yuan and his spouse serve as cotrustees.</w:t>
      </w:r>
    </w:p>
    <w:p>
      <w:pPr>
        <w:spacing w:after="0" w:line="1" w:lineRule="exact"/>
        <w:rPr>
          <w:rFonts w:ascii="Times New Roman" w:cs="Times New Roman" w:eastAsia="Times New Roman" w:hAnsi="Times New Roman"/>
          <w:sz w:val="18"/>
          <w:szCs w:val="18"/>
          <w:color w:val="auto"/>
        </w:rPr>
      </w:pPr>
    </w:p>
    <w:p>
      <w:pPr>
        <w:ind w:left="332" w:hanging="332"/>
        <w:spacing w:after="0" w:line="250" w:lineRule="auto"/>
        <w:tabs>
          <w:tab w:leader="none" w:pos="3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22,832,938 shares of Class B Common Stock held of record by Mr. Yuan, and 451,395 shares of Class B Common Stock subject to options exercisable within 60 days of December 31, 2020, of which 281,250 shares of Class B Common Stock are vested as of such date.</w:t>
      </w:r>
    </w:p>
    <w:p>
      <w:pPr>
        <w:ind w:left="332" w:right="20" w:hanging="332"/>
        <w:spacing w:after="0" w:line="253" w:lineRule="auto"/>
        <w:tabs>
          <w:tab w:leader="none" w:pos="3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9,108,250 shares of Class B Common Stock held of record by Zheng Yuan and Hongyu Zhang, cotrustees of the Zheng Yuan 2019 Grantor Retained Annuity Trust, for which Mr. Yuan and his spouse serve as cotrustees, 9,108,250 shares of Class B Common Stock held of record by Zheng Yuan and Hongyu Zhang, cotrustees of the Hongyu Zhang 2019 Grantor Retained Annuity Trust, for which Mr. Yuan and his spouse serve as cotrustees, 1,783,500 shares of Class B Common Stock held of record by Zheng Yuan and Hongyu Zhang, cotrustees of the 2018 Yuan and Zhang Revocable Trust, for which Mr. Yuan and his spouse serve as cotrustees.</w:t>
      </w:r>
    </w:p>
    <w:p>
      <w:pPr>
        <w:sectPr>
          <w:pgSz w:w="11900" w:h="16838" w:orient="portrait"/>
          <w:cols w:equalWidth="0" w:num="1">
            <w:col w:w="11172"/>
          </w:cols>
          <w:pgMar w:left="328" w:top="162" w:right="399" w:bottom="1440" w:gutter="0" w:footer="0" w:header="0"/>
        </w:sectPr>
      </w:pPr>
    </w:p>
    <w:bookmarkStart w:id="2" w:name="page3"/>
    <w:bookmarkEnd w:id="2"/>
    <w:p>
      <w:pPr>
        <w:ind w:left="12"/>
        <w:spacing w:after="0"/>
        <w:tabs>
          <w:tab w:leader="none" w:pos="4932" w:val="left"/>
          <w:tab w:leader="none" w:pos="9972" w:val="left"/>
        </w:tabs>
        <w:rPr>
          <w:sz w:val="20"/>
          <w:szCs w:val="20"/>
          <w:color w:val="auto"/>
        </w:rPr>
      </w:pPr>
      <w:r>
        <w:rPr>
          <w:rFonts w:ascii="Times New Roman" w:cs="Times New Roman" w:eastAsia="Times New Roman" w:hAnsi="Times New Roman"/>
          <w:sz w:val="18"/>
          <w:szCs w:val="18"/>
          <w:color w:val="auto"/>
        </w:rPr>
        <w:t>CUSIP No. 9890L101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3 of 5</w:t>
      </w:r>
    </w:p>
    <w:p>
      <w:pPr>
        <w:spacing w:after="0" w:line="200" w:lineRule="exact"/>
        <w:rPr>
          <w:sz w:val="20"/>
          <w:szCs w:val="20"/>
          <w:color w:val="auto"/>
        </w:rPr>
      </w:pPr>
    </w:p>
    <w:p>
      <w:pPr>
        <w:spacing w:after="0" w:line="322" w:lineRule="exact"/>
        <w:rPr>
          <w:sz w:val="20"/>
          <w:szCs w:val="20"/>
          <w:color w:val="auto"/>
        </w:rPr>
      </w:pPr>
    </w:p>
    <w:p>
      <w:pPr>
        <w:ind w:left="332" w:right="80" w:hanging="332"/>
        <w:spacing w:after="0" w:line="257" w:lineRule="auto"/>
        <w:tabs>
          <w:tab w:leader="none" w:pos="3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is entitled to one vote, and each share of Class B Common Stock is entitled to ten votes. Each share of Class B Common Stock will convert automatically into one (1) share of Class A Common Stock upon certain events specified in the Issuer’s certificate of incorporation.</w:t>
      </w:r>
    </w:p>
    <w:p>
      <w:pPr>
        <w:spacing w:after="0" w:line="1" w:lineRule="exact"/>
        <w:rPr>
          <w:rFonts w:ascii="Times New Roman" w:cs="Times New Roman" w:eastAsia="Times New Roman" w:hAnsi="Times New Roman"/>
          <w:sz w:val="18"/>
          <w:szCs w:val="18"/>
          <w:color w:val="auto"/>
        </w:rPr>
      </w:pPr>
    </w:p>
    <w:p>
      <w:pPr>
        <w:ind w:left="332" w:right="120" w:hanging="332"/>
        <w:spacing w:after="0" w:line="250" w:lineRule="auto"/>
        <w:tabs>
          <w:tab w:leader="none" w:pos="3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(i) 208,111,324 shares of Class A Common Stock and (ii) 78,966,201 shares of Class B Common Stock outstanding as of December 31, 2020.</w:t>
      </w:r>
    </w:p>
    <w:p>
      <w:pPr>
        <w:ind w:left="332" w:hanging="332"/>
        <w:spacing w:after="0" w:line="261"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aggregate number of shares of Class B Common Stock beneficially owned by the reporting person, which pursuant to Rule 13d-3 of the Securities Exchange Act of 1934, as amended, is treated as converted into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Securities Exchange Act of 1934, as amended. The 43,284,333 shares of Class B Common Stock held by Eris S. Yuan represents 43.4% of the aggregate combined voting power of the Class A Common Stock and Class B Common Stock.</w:t>
      </w:r>
    </w:p>
    <w:p>
      <w:pPr>
        <w:spacing w:after="0" w:line="261" w:lineRule="exact"/>
        <w:rPr>
          <w:sz w:val="20"/>
          <w:szCs w:val="20"/>
          <w:color w:val="auto"/>
        </w:rPr>
      </w:pPr>
    </w:p>
    <w:p>
      <w:pPr>
        <w:ind w:left="12"/>
        <w:spacing w:after="0"/>
        <w:tabs>
          <w:tab w:leader="none" w:pos="1072"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Issuer</w:t>
      </w:r>
    </w:p>
    <w:p>
      <w:pPr>
        <w:spacing w:after="0" w:line="297" w:lineRule="exact"/>
        <w:rPr>
          <w:sz w:val="20"/>
          <w:szCs w:val="20"/>
          <w:color w:val="auto"/>
        </w:rPr>
      </w:pPr>
    </w:p>
    <w:p>
      <w:pPr>
        <w:ind w:left="2152" w:hanging="1068"/>
        <w:spacing w:after="0"/>
        <w:tabs>
          <w:tab w:leader="none" w:pos="21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88" w:lineRule="exact"/>
        <w:rPr>
          <w:rFonts w:ascii="Times New Roman" w:cs="Times New Roman" w:eastAsia="Times New Roman" w:hAnsi="Times New Roman"/>
          <w:sz w:val="18"/>
          <w:szCs w:val="18"/>
          <w:color w:val="auto"/>
        </w:rPr>
      </w:pPr>
    </w:p>
    <w:p>
      <w:pPr>
        <w:ind w:left="21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 Video Communications, Inc.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w:t>
      </w:r>
    </w:p>
    <w:p>
      <w:pPr>
        <w:spacing w:after="0" w:line="296" w:lineRule="exact"/>
        <w:rPr>
          <w:rFonts w:ascii="Times New Roman" w:cs="Times New Roman" w:eastAsia="Times New Roman" w:hAnsi="Times New Roman"/>
          <w:sz w:val="18"/>
          <w:szCs w:val="18"/>
          <w:color w:val="auto"/>
        </w:rPr>
      </w:pPr>
    </w:p>
    <w:p>
      <w:pPr>
        <w:ind w:left="2152" w:hanging="1068"/>
        <w:spacing w:after="0"/>
        <w:tabs>
          <w:tab w:leader="none" w:pos="21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81" w:lineRule="exact"/>
        <w:rPr>
          <w:sz w:val="20"/>
          <w:szCs w:val="20"/>
          <w:color w:val="auto"/>
        </w:rPr>
      </w:pPr>
    </w:p>
    <w:p>
      <w:pPr>
        <w:ind w:left="2152"/>
        <w:spacing w:after="0"/>
        <w:rPr>
          <w:sz w:val="20"/>
          <w:szCs w:val="20"/>
          <w:color w:val="auto"/>
        </w:rPr>
      </w:pPr>
      <w:r>
        <w:rPr>
          <w:rFonts w:ascii="Times New Roman" w:cs="Times New Roman" w:eastAsia="Times New Roman" w:hAnsi="Times New Roman"/>
          <w:sz w:val="18"/>
          <w:szCs w:val="18"/>
          <w:color w:val="auto"/>
        </w:rPr>
        <w:t>55 Almaden Boulevard, 6</w:t>
      </w:r>
      <w:r>
        <w:rPr>
          <w:rFonts w:ascii="Times New Roman" w:cs="Times New Roman" w:eastAsia="Times New Roman" w:hAnsi="Times New Roman"/>
          <w:sz w:val="16"/>
          <w:szCs w:val="16"/>
          <w:color w:val="auto"/>
        </w:rPr>
        <w:t>th</w:t>
      </w:r>
      <w:r>
        <w:rPr>
          <w:rFonts w:ascii="Times New Roman" w:cs="Times New Roman" w:eastAsia="Times New Roman" w:hAnsi="Times New Roman"/>
          <w:sz w:val="18"/>
          <w:szCs w:val="18"/>
          <w:color w:val="auto"/>
        </w:rPr>
        <w:t xml:space="preserve"> Floor</w:t>
      </w:r>
    </w:p>
    <w:p>
      <w:pPr>
        <w:ind w:left="2152"/>
        <w:spacing w:after="0"/>
        <w:rPr>
          <w:sz w:val="20"/>
          <w:szCs w:val="20"/>
          <w:color w:val="auto"/>
        </w:rPr>
      </w:pPr>
      <w:r>
        <w:rPr>
          <w:rFonts w:ascii="Times New Roman" w:cs="Times New Roman" w:eastAsia="Times New Roman" w:hAnsi="Times New Roman"/>
          <w:sz w:val="18"/>
          <w:szCs w:val="18"/>
          <w:color w:val="auto"/>
        </w:rPr>
        <w:t>San Jose, California 95113</w:t>
      </w:r>
    </w:p>
    <w:p>
      <w:pPr>
        <w:spacing w:after="0" w:line="269" w:lineRule="exact"/>
        <w:rPr>
          <w:sz w:val="20"/>
          <w:szCs w:val="20"/>
          <w:color w:val="auto"/>
        </w:rPr>
      </w:pPr>
    </w:p>
    <w:p>
      <w:pPr>
        <w:ind w:left="12"/>
        <w:spacing w:after="0"/>
        <w:tabs>
          <w:tab w:leader="none" w:pos="1072"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Filing Person</w:t>
      </w:r>
    </w:p>
    <w:p>
      <w:pPr>
        <w:spacing w:after="0" w:line="297" w:lineRule="exact"/>
        <w:rPr>
          <w:sz w:val="20"/>
          <w:szCs w:val="20"/>
          <w:color w:val="auto"/>
        </w:rPr>
      </w:pPr>
    </w:p>
    <w:p>
      <w:pPr>
        <w:ind w:left="2152" w:right="7240" w:hanging="1068"/>
        <w:spacing w:after="0" w:line="446" w:lineRule="auto"/>
        <w:tabs>
          <w:tab w:leader="none" w:pos="21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Persons Filing: Eric S. Yuan</w:t>
      </w:r>
    </w:p>
    <w:p>
      <w:pPr>
        <w:ind w:left="2152" w:hanging="1068"/>
        <w:spacing w:after="0"/>
        <w:tabs>
          <w:tab w:leader="none" w:pos="21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92" w:lineRule="exact"/>
        <w:rPr>
          <w:rFonts w:ascii="Times New Roman" w:cs="Times New Roman" w:eastAsia="Times New Roman" w:hAnsi="Times New Roman"/>
          <w:sz w:val="18"/>
          <w:szCs w:val="18"/>
          <w:color w:val="auto"/>
        </w:rPr>
      </w:pPr>
    </w:p>
    <w:p>
      <w:pPr>
        <w:ind w:left="2152" w:right="652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Almaden, Boulevard, 6th Floor San Jose, California, 95113</w:t>
      </w:r>
    </w:p>
    <w:p>
      <w:pPr>
        <w:spacing w:after="0" w:line="266" w:lineRule="exact"/>
        <w:rPr>
          <w:rFonts w:ascii="Times New Roman" w:cs="Times New Roman" w:eastAsia="Times New Roman" w:hAnsi="Times New Roman"/>
          <w:sz w:val="18"/>
          <w:szCs w:val="18"/>
          <w:color w:val="auto"/>
        </w:rPr>
      </w:pPr>
    </w:p>
    <w:p>
      <w:pPr>
        <w:ind w:left="2152" w:hanging="1068"/>
        <w:spacing w:after="0"/>
        <w:tabs>
          <w:tab w:leader="none" w:pos="21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79" w:lineRule="exact"/>
        <w:rPr>
          <w:rFonts w:ascii="Times New Roman" w:cs="Times New Roman" w:eastAsia="Times New Roman" w:hAnsi="Times New Roman"/>
          <w:sz w:val="18"/>
          <w:szCs w:val="18"/>
          <w:color w:val="auto"/>
        </w:rPr>
      </w:pPr>
    </w:p>
    <w:p>
      <w:pPr>
        <w:ind w:left="21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of America</w:t>
      </w:r>
    </w:p>
    <w:p>
      <w:pPr>
        <w:spacing w:after="0" w:line="279" w:lineRule="exact"/>
        <w:rPr>
          <w:rFonts w:ascii="Times New Roman" w:cs="Times New Roman" w:eastAsia="Times New Roman" w:hAnsi="Times New Roman"/>
          <w:sz w:val="18"/>
          <w:szCs w:val="18"/>
          <w:color w:val="auto"/>
        </w:rPr>
      </w:pPr>
    </w:p>
    <w:p>
      <w:pPr>
        <w:ind w:left="2152" w:hanging="1068"/>
        <w:spacing w:after="0"/>
        <w:tabs>
          <w:tab w:leader="none" w:pos="21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88" w:lineRule="exact"/>
        <w:rPr>
          <w:rFonts w:ascii="Times New Roman" w:cs="Times New Roman" w:eastAsia="Times New Roman" w:hAnsi="Times New Roman"/>
          <w:sz w:val="18"/>
          <w:szCs w:val="18"/>
          <w:color w:val="auto"/>
        </w:rPr>
      </w:pPr>
    </w:p>
    <w:p>
      <w:pPr>
        <w:ind w:left="21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296" w:lineRule="exact"/>
        <w:rPr>
          <w:rFonts w:ascii="Times New Roman" w:cs="Times New Roman" w:eastAsia="Times New Roman" w:hAnsi="Times New Roman"/>
          <w:sz w:val="18"/>
          <w:szCs w:val="18"/>
          <w:color w:val="auto"/>
        </w:rPr>
      </w:pPr>
    </w:p>
    <w:p>
      <w:pPr>
        <w:ind w:left="2152" w:hanging="1068"/>
        <w:spacing w:after="0"/>
        <w:tabs>
          <w:tab w:leader="none" w:pos="21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93" w:lineRule="exact"/>
        <w:rPr>
          <w:sz w:val="20"/>
          <w:szCs w:val="20"/>
          <w:color w:val="auto"/>
        </w:rPr>
      </w:pPr>
    </w:p>
    <w:p>
      <w:pPr>
        <w:ind w:left="2152"/>
        <w:spacing w:after="0"/>
        <w:rPr>
          <w:sz w:val="20"/>
          <w:szCs w:val="20"/>
          <w:color w:val="auto"/>
        </w:rPr>
      </w:pPr>
      <w:r>
        <w:rPr>
          <w:rFonts w:ascii="Times New Roman" w:cs="Times New Roman" w:eastAsia="Times New Roman" w:hAnsi="Times New Roman"/>
          <w:sz w:val="18"/>
          <w:szCs w:val="18"/>
          <w:color w:val="auto"/>
        </w:rPr>
        <w:t>98980L101</w:t>
      </w:r>
    </w:p>
    <w:p>
      <w:pPr>
        <w:spacing w:after="0" w:line="289" w:lineRule="exact"/>
        <w:rPr>
          <w:sz w:val="20"/>
          <w:szCs w:val="20"/>
          <w:color w:val="auto"/>
        </w:rPr>
      </w:pPr>
    </w:p>
    <w:p>
      <w:pPr>
        <w:ind w:left="12"/>
        <w:spacing w:after="0"/>
        <w:tabs>
          <w:tab w:leader="none" w:pos="1072"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Rules 13d-1(b), or 13d-2(b) or (c), check whether the person filing is a:</w:t>
      </w:r>
    </w:p>
    <w:p>
      <w:pPr>
        <w:spacing w:after="0" w:line="268" w:lineRule="exact"/>
        <w:rPr>
          <w:sz w:val="20"/>
          <w:szCs w:val="20"/>
          <w:color w:val="auto"/>
        </w:rPr>
      </w:pPr>
    </w:p>
    <w:p>
      <w:pPr>
        <w:ind w:left="2152" w:hanging="1068"/>
        <w:spacing w:after="0" w:line="207" w:lineRule="exact"/>
        <w:tabs>
          <w:tab w:leader="none" w:pos="2152"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w:t>
      </w:r>
    </w:p>
    <w:p>
      <w:pPr>
        <w:sectPr>
          <w:pgSz w:w="11900" w:h="16838" w:orient="portrait"/>
          <w:cols w:equalWidth="0" w:num="1">
            <w:col w:w="11152"/>
          </w:cols>
          <w:pgMar w:left="328" w:top="162" w:right="419" w:bottom="1440" w:gutter="0" w:footer="0" w:header="0"/>
        </w:sectPr>
      </w:pPr>
    </w:p>
    <w:bookmarkStart w:id="3" w:name="page4"/>
    <w:bookmarkEnd w:id="3"/>
    <w:p>
      <w:pPr>
        <w:spacing w:after="0"/>
        <w:tabs>
          <w:tab w:leader="none" w:pos="4920" w:val="left"/>
          <w:tab w:leader="none" w:pos="9960" w:val="left"/>
        </w:tabs>
        <w:rPr>
          <w:sz w:val="20"/>
          <w:szCs w:val="20"/>
          <w:color w:val="auto"/>
        </w:rPr>
      </w:pPr>
      <w:r>
        <w:rPr>
          <w:rFonts w:ascii="Times New Roman" w:cs="Times New Roman" w:eastAsia="Times New Roman" w:hAnsi="Times New Roman"/>
          <w:sz w:val="18"/>
          <w:szCs w:val="18"/>
          <w:color w:val="auto"/>
        </w:rPr>
        <w:t>CUSIP No. 9890L101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5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as defined in Section 3(a)(6) of the Act;</w:t>
            </w:r>
          </w:p>
        </w:tc>
      </w:tr>
      <w:tr>
        <w:trPr>
          <w:trHeight w:val="499"/>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w:t>
            </w:r>
          </w:p>
        </w:tc>
        <w:tc>
          <w:tcPr>
            <w:tcW w:w="5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w:t>
            </w:r>
          </w:p>
        </w:tc>
      </w:tr>
      <w:tr>
        <w:trPr>
          <w:trHeight w:val="324"/>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w:t>
            </w:r>
          </w:p>
        </w:tc>
        <w:tc>
          <w:tcPr>
            <w:tcW w:w="5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w:t>
            </w:r>
          </w:p>
        </w:tc>
      </w:tr>
      <w:tr>
        <w:trPr>
          <w:trHeight w:val="499"/>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w:t>
            </w:r>
          </w:p>
        </w:tc>
        <w:tc>
          <w:tcPr>
            <w:tcW w:w="5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 investment adviser in accordance with Rule 13d-1(b)(1)(ii)(E);</w:t>
            </w:r>
          </w:p>
        </w:tc>
      </w:tr>
      <w:tr>
        <w:trPr>
          <w:trHeight w:val="500"/>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w:t>
            </w:r>
          </w:p>
        </w:tc>
        <w:tc>
          <w:tcPr>
            <w:tcW w:w="5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Rule 13d-1(b)(1)(ii)(F);</w:t>
            </w:r>
          </w:p>
        </w:tc>
      </w:tr>
      <w:tr>
        <w:trPr>
          <w:trHeight w:val="499"/>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w:t>
            </w:r>
          </w:p>
        </w:tc>
        <w:tc>
          <w:tcPr>
            <w:tcW w:w="5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Rule 13d-1(b)(1)(ii)(G);</w:t>
            </w:r>
          </w:p>
        </w:tc>
      </w:tr>
      <w:tr>
        <w:trPr>
          <w:trHeight w:val="499"/>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w:t>
            </w:r>
          </w:p>
        </w:tc>
        <w:tc>
          <w:tcPr>
            <w:tcW w:w="5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tc>
      </w:tr>
      <w:tr>
        <w:trPr>
          <w:trHeight w:val="426"/>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w:t>
            </w:r>
          </w:p>
        </w:tc>
        <w:tc>
          <w:tcPr>
            <w:tcW w:w="5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w:t>
            </w:r>
          </w:p>
        </w:tc>
      </w:tr>
      <w:tr>
        <w:trPr>
          <w:trHeight w:val="234"/>
        </w:trPr>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Company Act of 1940;</w:t>
            </w:r>
          </w:p>
        </w:tc>
      </w:tr>
      <w:tr>
        <w:trPr>
          <w:trHeight w:val="515"/>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w:t>
            </w:r>
          </w:p>
        </w:tc>
        <w:tc>
          <w:tcPr>
            <w:tcW w:w="5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non-U.S. institution in accordance with Rule 240.13d-1(b)(1)(ii)(J);</w:t>
            </w:r>
          </w:p>
        </w:tc>
      </w:tr>
      <w:tr>
        <w:trPr>
          <w:trHeight w:val="425"/>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(k)</w:t>
            </w:r>
          </w:p>
        </w:tc>
        <w:tc>
          <w:tcPr>
            <w:tcW w:w="5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Group, in accordance with Rule 240.13d-1(b)(1)(ii)(K). If filing as a non-U.S. institution in accordance with</w:t>
            </w:r>
          </w:p>
        </w:tc>
      </w:tr>
      <w:tr>
        <w:trPr>
          <w:trHeight w:val="234"/>
        </w:trPr>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Rule 240.13d-1(b)(1)(ii)(J), please specify the type of institution:</w:t>
            </w:r>
          </w:p>
        </w:tc>
      </w:tr>
      <w:tr>
        <w:trPr>
          <w:trHeight w:val="495"/>
        </w:trPr>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w:t>
            </w:r>
          </w:p>
        </w:tc>
      </w:tr>
      <w:tr>
        <w:trPr>
          <w:trHeight w:val="499"/>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540" w:type="dxa"/>
            <w:vAlign w:val="bottom"/>
          </w:tcPr>
          <w:p>
            <w:pPr>
              <w:spacing w:after="0"/>
              <w:rPr>
                <w:sz w:val="24"/>
                <w:szCs w:val="24"/>
                <w:color w:val="auto"/>
              </w:rPr>
            </w:pPr>
          </w:p>
        </w:tc>
        <w:tc>
          <w:tcPr>
            <w:tcW w:w="7980" w:type="dxa"/>
            <w:vAlign w:val="bottom"/>
          </w:tcPr>
          <w:p>
            <w:pPr>
              <w:spacing w:after="0"/>
              <w:rPr>
                <w:sz w:val="24"/>
                <w:szCs w:val="24"/>
                <w:color w:val="auto"/>
              </w:rPr>
            </w:pPr>
          </w:p>
        </w:tc>
      </w:tr>
      <w:tr>
        <w:trPr>
          <w:trHeight w:val="495"/>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w:t>
            </w:r>
          </w:p>
        </w:tc>
        <w:tc>
          <w:tcPr>
            <w:tcW w:w="540" w:type="dxa"/>
            <w:vAlign w:val="bottom"/>
          </w:tcPr>
          <w:p>
            <w:pPr>
              <w:spacing w:after="0"/>
              <w:rPr>
                <w:sz w:val="24"/>
                <w:szCs w:val="24"/>
                <w:color w:val="auto"/>
              </w:rPr>
            </w:pP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beneficially owned:</w:t>
            </w:r>
          </w:p>
        </w:tc>
      </w:tr>
      <w:tr>
        <w:trPr>
          <w:trHeight w:val="234"/>
        </w:trPr>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See response in Row 9 on page 2 for Reporting Person</w:t>
            </w:r>
          </w:p>
        </w:tc>
      </w:tr>
      <w:tr>
        <w:trPr>
          <w:trHeight w:val="495"/>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540" w:type="dxa"/>
            <w:vAlign w:val="bottom"/>
          </w:tcPr>
          <w:p>
            <w:pPr>
              <w:spacing w:after="0"/>
              <w:rPr>
                <w:sz w:val="24"/>
                <w:szCs w:val="24"/>
                <w:color w:val="auto"/>
              </w:rPr>
            </w:pP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 of Class:</w:t>
            </w:r>
          </w:p>
        </w:tc>
      </w:tr>
      <w:tr>
        <w:trPr>
          <w:trHeight w:val="234"/>
        </w:trPr>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See response in Row 11 on page 2 for Reporting Person</w:t>
            </w:r>
          </w:p>
        </w:tc>
      </w:tr>
      <w:tr>
        <w:trPr>
          <w:trHeight w:val="500"/>
        </w:trPr>
        <w:tc>
          <w:tcPr>
            <w:tcW w:w="8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w:t>
            </w:r>
          </w:p>
        </w:tc>
        <w:tc>
          <w:tcPr>
            <w:tcW w:w="540" w:type="dxa"/>
            <w:vAlign w:val="bottom"/>
          </w:tcPr>
          <w:p>
            <w:pPr>
              <w:spacing w:after="0"/>
              <w:rPr>
                <w:sz w:val="24"/>
                <w:szCs w:val="24"/>
                <w:color w:val="auto"/>
              </w:rPr>
            </w:pP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Number of shares as to which such person has:</w:t>
            </w:r>
          </w:p>
        </w:tc>
      </w:tr>
      <w:tr>
        <w:trPr>
          <w:trHeight w:val="500"/>
        </w:trPr>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r>
      <w:tr>
        <w:trPr>
          <w:trHeight w:val="499"/>
        </w:trPr>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23,284,333</w:t>
            </w:r>
          </w:p>
        </w:tc>
      </w:tr>
      <w:tr>
        <w:trPr>
          <w:trHeight w:val="500"/>
        </w:trPr>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(ii)</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r>
      <w:tr>
        <w:trPr>
          <w:trHeight w:val="500"/>
        </w:trPr>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20,000,000</w:t>
            </w:r>
          </w:p>
        </w:tc>
      </w:tr>
      <w:tr>
        <w:trPr>
          <w:trHeight w:val="499"/>
        </w:trPr>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(iii)</w:t>
            </w: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power to dispose or to direct the disposition:</w:t>
            </w:r>
          </w:p>
        </w:tc>
      </w:tr>
      <w:tr>
        <w:trPr>
          <w:trHeight w:val="499"/>
        </w:trPr>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23,284,333</w:t>
            </w:r>
          </w:p>
        </w:tc>
      </w:tr>
    </w:tbl>
    <w:p>
      <w:pPr>
        <w:sectPr>
          <w:pgSz w:w="11900" w:h="16838" w:orient="portrait"/>
          <w:cols w:equalWidth="0" w:num="1">
            <w:col w:w="10800"/>
          </w:cols>
          <w:pgMar w:left="340" w:top="162" w:right="759" w:bottom="1440" w:gutter="0" w:footer="0" w:header="0"/>
        </w:sectPr>
      </w:pPr>
    </w:p>
    <w:bookmarkStart w:id="4" w:name="page5"/>
    <w:bookmarkEnd w:id="4"/>
    <w:p>
      <w:pPr>
        <w:ind w:left="20"/>
        <w:spacing w:after="0"/>
        <w:tabs>
          <w:tab w:leader="none" w:pos="4940" w:val="left"/>
          <w:tab w:leader="none" w:pos="9980" w:val="left"/>
        </w:tabs>
        <w:rPr>
          <w:sz w:val="20"/>
          <w:szCs w:val="20"/>
          <w:color w:val="auto"/>
        </w:rPr>
      </w:pPr>
      <w:r>
        <w:rPr>
          <w:rFonts w:ascii="Times New Roman" w:cs="Times New Roman" w:eastAsia="Times New Roman" w:hAnsi="Times New Roman"/>
          <w:sz w:val="18"/>
          <w:szCs w:val="18"/>
          <w:color w:val="auto"/>
        </w:rPr>
        <w:t>CUSIP No. 9890L101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5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0" w:right="4360" w:hanging="641"/>
        <w:spacing w:after="0" w:line="576" w:lineRule="auto"/>
        <w:tabs>
          <w:tab w:leader="none" w:pos="2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of: 20,000,000</w:t>
      </w:r>
    </w:p>
    <w:p>
      <w:pPr>
        <w:spacing w:after="0" w:line="1"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31" w:lineRule="exact"/>
        <w:rPr>
          <w:sz w:val="20"/>
          <w:szCs w:val="20"/>
          <w:color w:val="auto"/>
        </w:rPr>
      </w:pPr>
    </w:p>
    <w:p>
      <w:pPr>
        <w:ind w:left="1100" w:right="360"/>
        <w:spacing w:after="0" w:line="213"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 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42"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4" w:lineRule="exact"/>
        <w:rPr>
          <w:sz w:val="20"/>
          <w:szCs w:val="20"/>
          <w:color w:val="auto"/>
        </w:rPr>
      </w:pPr>
    </w:p>
    <w:p>
      <w:pPr>
        <w:ind w:left="1100" w:right="500" w:hanging="1065"/>
        <w:spacing w:after="0" w:line="239" w:lineRule="auto"/>
        <w:tabs>
          <w:tab w:leader="none" w:pos="10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4"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4"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4"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2021</w:t>
      </w: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Eric S. Yuan</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Eric S. Yuan</w:t>
      </w:r>
    </w:p>
    <w:sectPr>
      <w:pgSz w:w="11900" w:h="16838" w:orient="portrait"/>
      <w:cols w:equalWidth="0" w:num="1">
        <w:col w:w="10920"/>
      </w:cols>
      <w:pgMar w:left="320" w:top="162"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3"/>
    </w:lvl>
    <w:lvl w:ilvl="1">
      <w:lvlJc w:val="left"/>
      <w:lvlText w:val="%2."/>
      <w:numFmt w:val="decimal"/>
      <w:start w:val="5"/>
    </w:lvl>
  </w:abstractNum>
  <w:abstractNum w:abstractNumId="4">
    <w:nsid w:val="515F007C"/>
    <w:multiLevelType w:val="hybridMultilevel"/>
    <w:lvl w:ilvl="0">
      <w:lvlJc w:val="left"/>
      <w:lvlText w:val="%1."/>
      <w:numFmt w:val="decimal"/>
      <w:start w:val="10"/>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2021-02-12T15:42:57Z</dcterms:created>
  <dcterms:modified xsi:type="dcterms:W3CDTF">2021-02-12T15:42:57Z</dcterms:modified>
</cp:coreProperties>
</file>