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78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89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Pres. of Engineering &amp; Product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89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20,752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69.5109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104,414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20,752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290,523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mandated by the Issuer's election under its equity incentive plans to require the satisfaction of a tax withholding obligation to be funded by a "sell to cover" transaction and does not represent a discretionary trade by the reporting person.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Aparna Bawa,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8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2024-10-11T18:23:02Z</dcterms:created>
  <dcterms:modified xsi:type="dcterms:W3CDTF">2024-10-11T18:23:02Z</dcterms:modified>
</cp:coreProperties>
</file>