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6877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6877050"/>
                    </a:xfrm>
                    <a:prstGeom prst="rect">
                      <a:avLst/>
                    </a:prstGeom>
                    <a:noFill/>
                  </pic:spPr>
                </pic:pic>
              </a:graphicData>
            </a:graphic>
          </wp:anchor>
        </w:drawing>
      </w:r>
    </w:p>
    <w:p>
      <w:pPr>
        <w:spacing w:after="0" w:line="103" w:lineRule="exact"/>
        <w:rPr>
          <w:sz w:val="24"/>
          <w:szCs w:val="24"/>
          <w:color w:val="auto"/>
        </w:rPr>
      </w:pPr>
    </w:p>
    <w:p>
      <w:pPr>
        <w:sectPr>
          <w:pgSz w:w="11900" w:h="16890" w:orient="portrait"/>
          <w:cols w:equalWidth="0" w:num="2">
            <w:col w:w="2280" w:space="240"/>
            <w:col w:w="856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Bawa Aparna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40"/>
        <w:spacing w:after="0" w:line="383"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Zoom Video Communications,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00" w:type="dxa"/>
            <w:vAlign w:val="bottom"/>
            <w:tcBorders>
              <w:top w:val="single" w:sz="8" w:color="0000EE"/>
            </w:tcBorders>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8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800" w:type="dxa"/>
            <w:vAlign w:val="bottom"/>
            <w:tcBorders>
              <w:bottom w:val="single" w:sz="8" w:color="808080"/>
            </w:tcBorders>
          </w:tcPr>
          <w:p>
            <w:pPr>
              <w:spacing w:after="0"/>
              <w:rPr>
                <w:sz w:val="15"/>
                <w:szCs w:val="15"/>
                <w:color w:val="auto"/>
              </w:rPr>
            </w:pPr>
          </w:p>
        </w:tc>
        <w:tc>
          <w:tcPr>
            <w:tcW w:w="840" w:type="dxa"/>
            <w:vAlign w:val="bottom"/>
            <w:tcBorders>
              <w:bottom w:val="single" w:sz="8" w:color="808080"/>
            </w:tcBorders>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360" w:type="dxa"/>
            <w:vAlign w:val="bottom"/>
            <w:vMerge w:val="restart"/>
          </w:tcPr>
          <w:p>
            <w:pPr>
              <w:ind w:left="100"/>
              <w:spacing w:after="0" w:line="126"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218"/>
        </w:trPr>
        <w:tc>
          <w:tcPr>
            <w:tcW w:w="30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06/04/2022</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90"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900" w:type="dxa"/>
            <w:vAlign w:val="bottom"/>
            <w:gridSpan w:val="4"/>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jc w:val="center"/>
              <w:ind w:right="16"/>
              <w:spacing w:after="0"/>
              <w:rPr>
                <w:sz w:val="20"/>
                <w:szCs w:val="20"/>
                <w:color w:val="auto"/>
              </w:rPr>
            </w:pPr>
            <w:r>
              <w:rPr>
                <w:rFonts w:ascii="Arial" w:cs="Arial" w:eastAsia="Arial" w:hAnsi="Arial"/>
                <w:sz w:val="12"/>
                <w:szCs w:val="12"/>
                <w:b w:val="1"/>
                <w:bCs w:val="1"/>
                <w:color w:val="auto"/>
                <w:w w:val="95"/>
              </w:rPr>
              <w:t>(D)</w:t>
            </w:r>
          </w:p>
        </w:tc>
        <w:tc>
          <w:tcPr>
            <w:tcW w:w="6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7"/>
                <w:szCs w:val="17"/>
                <w:color w:val="0000FF"/>
              </w:rPr>
              <w:t>06/04/2022</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jc w:val="center"/>
              <w:ind w:right="239"/>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1,711</w:t>
            </w: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ind w:right="4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1"/>
                <w:szCs w:val="21"/>
                <w:color w:val="auto"/>
              </w:rPr>
            </w:pPr>
          </w:p>
        </w:tc>
        <w:tc>
          <w:tcPr>
            <w:tcW w:w="1260" w:type="dxa"/>
            <w:vAlign w:val="bottom"/>
            <w:gridSpan w:val="3"/>
            <w:vMerge w:val="restart"/>
          </w:tcPr>
          <w:p>
            <w:pPr>
              <w:ind w:left="340"/>
              <w:spacing w:after="0"/>
              <w:rPr>
                <w:sz w:val="20"/>
                <w:szCs w:val="20"/>
                <w:color w:val="auto"/>
              </w:rPr>
            </w:pPr>
            <w:r>
              <w:rPr>
                <w:rFonts w:ascii="Times New Roman" w:cs="Times New Roman" w:eastAsia="Times New Roman" w:hAnsi="Times New Roman"/>
                <w:sz w:val="17"/>
                <w:szCs w:val="17"/>
                <w:color w:val="0000FF"/>
              </w:rPr>
              <w:t>83,971</w:t>
            </w:r>
            <w:r>
              <w:rPr>
                <w:rFonts w:ascii="Times New Roman" w:cs="Times New Roman" w:eastAsia="Times New Roman" w:hAnsi="Times New Roman"/>
                <w:sz w:val="21"/>
                <w:szCs w:val="21"/>
                <w:color w:val="008000"/>
                <w:vertAlign w:val="superscript"/>
              </w:rPr>
              <w:t>(1)</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60" w:type="dxa"/>
            <w:vAlign w:val="bottom"/>
            <w:gridSpan w:val="3"/>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7"/>
                <w:szCs w:val="17"/>
                <w:color w:val="0000FF"/>
              </w:rPr>
              <w:t>06/04/2022</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jc w:val="center"/>
              <w:ind w:right="239"/>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33"/>
                <w:szCs w:val="33"/>
                <w:color w:val="0000FF"/>
                <w:w w:val="91"/>
                <w:vertAlign w:val="subscript"/>
              </w:rPr>
              <w:t>595</w:t>
            </w:r>
            <w:r>
              <w:rPr>
                <w:rFonts w:ascii="Times New Roman" w:cs="Times New Roman" w:eastAsia="Times New Roman" w:hAnsi="Times New Roman"/>
                <w:sz w:val="11"/>
                <w:szCs w:val="11"/>
                <w:color w:val="008000"/>
                <w:w w:val="91"/>
              </w:rPr>
              <w:t>(3)</w:t>
            </w: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112.16</w:t>
            </w:r>
          </w:p>
        </w:tc>
        <w:tc>
          <w:tcPr>
            <w:tcW w:w="1260" w:type="dxa"/>
            <w:vAlign w:val="bottom"/>
            <w:gridSpan w:val="3"/>
            <w:vMerge w:val="restart"/>
          </w:tcPr>
          <w:p>
            <w:pPr>
              <w:ind w:left="340"/>
              <w:spacing w:after="0"/>
              <w:rPr>
                <w:sz w:val="20"/>
                <w:szCs w:val="20"/>
                <w:color w:val="auto"/>
              </w:rPr>
            </w:pPr>
            <w:r>
              <w:rPr>
                <w:rFonts w:ascii="Times New Roman" w:cs="Times New Roman" w:eastAsia="Times New Roman" w:hAnsi="Times New Roman"/>
                <w:sz w:val="17"/>
                <w:szCs w:val="17"/>
                <w:color w:val="0000FF"/>
              </w:rPr>
              <w:t>83,376</w:t>
            </w:r>
            <w:r>
              <w:rPr>
                <w:rFonts w:ascii="Times New Roman" w:cs="Times New Roman" w:eastAsia="Times New Roman" w:hAnsi="Times New Roman"/>
                <w:sz w:val="21"/>
                <w:szCs w:val="21"/>
                <w:color w:val="008000"/>
                <w:vertAlign w:val="superscript"/>
              </w:rPr>
              <w:t>(1)</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60" w:type="dxa"/>
            <w:vAlign w:val="bottom"/>
            <w:gridSpan w:val="3"/>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90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50"/>
        </w:trPr>
        <w:tc>
          <w:tcPr>
            <w:tcW w:w="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20" w:type="dxa"/>
            <w:vAlign w:val="bottom"/>
            <w:gridSpan w:val="13"/>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Direct (D)</w:t>
            </w:r>
          </w:p>
        </w:tc>
        <w:tc>
          <w:tcPr>
            <w:tcW w:w="14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gridSpan w:val="2"/>
            <w:vMerge w:val="restart"/>
          </w:tcPr>
          <w:p>
            <w:pPr>
              <w:jc w:val="right"/>
              <w:ind w:right="319"/>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8"/>
              <w:spacing w:after="0"/>
              <w:rPr>
                <w:sz w:val="20"/>
                <w:szCs w:val="20"/>
                <w:color w:val="auto"/>
              </w:rPr>
            </w:pPr>
            <w:r>
              <w:rPr>
                <w:rFonts w:ascii="Times New Roman" w:cs="Times New Roman" w:eastAsia="Times New Roman" w:hAnsi="Times New Roman"/>
                <w:sz w:val="17"/>
                <w:szCs w:val="17"/>
                <w:color w:val="0000FF"/>
                <w:w w:val="99"/>
              </w:rPr>
              <w:t>1,711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06/04/2022</w:t>
            </w:r>
          </w:p>
        </w:tc>
        <w:tc>
          <w:tcPr>
            <w:tcW w:w="1100" w:type="dxa"/>
            <w:vAlign w:val="bottom"/>
          </w:tcPr>
          <w:p>
            <w:pPr>
              <w:spacing w:after="0"/>
              <w:rPr>
                <w:sz w:val="12"/>
                <w:szCs w:val="12"/>
                <w:color w:val="auto"/>
              </w:rPr>
            </w:pPr>
          </w:p>
        </w:tc>
        <w:tc>
          <w:tcPr>
            <w:tcW w:w="5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2"/>
                <w:szCs w:val="12"/>
                <w:color w:val="auto"/>
              </w:rPr>
            </w:pPr>
          </w:p>
        </w:tc>
        <w:tc>
          <w:tcPr>
            <w:tcW w:w="78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1,711</w:t>
            </w: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jc w:val="center"/>
              <w:ind w:right="16"/>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ind w:right="2"/>
              <w:spacing w:after="0" w:line="143" w:lineRule="exact"/>
              <w:rPr>
                <w:sz w:val="20"/>
                <w:szCs w:val="20"/>
                <w:color w:val="auto"/>
              </w:rPr>
            </w:pPr>
            <w:r>
              <w:rPr>
                <w:rFonts w:ascii="Times New Roman" w:cs="Times New Roman" w:eastAsia="Times New Roman" w:hAnsi="Times New Roman"/>
                <w:sz w:val="13"/>
                <w:szCs w:val="13"/>
                <w:color w:val="0000FF"/>
              </w:rPr>
              <w:t>15,394</w:t>
            </w:r>
          </w:p>
        </w:tc>
        <w:tc>
          <w:tcPr>
            <w:tcW w:w="60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gridSpan w:val="2"/>
            <w:vMerge w:val="restart"/>
          </w:tcPr>
          <w:p>
            <w:pPr>
              <w:jc w:val="right"/>
              <w:ind w:right="319"/>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8"/>
              <w:spacing w:after="0"/>
              <w:rPr>
                <w:sz w:val="20"/>
                <w:szCs w:val="20"/>
                <w:color w:val="auto"/>
              </w:rPr>
            </w:pPr>
            <w:r>
              <w:rPr>
                <w:rFonts w:ascii="Times New Roman" w:cs="Times New Roman" w:eastAsia="Times New Roman" w:hAnsi="Times New Roman"/>
                <w:sz w:val="17"/>
                <w:szCs w:val="17"/>
                <w:color w:val="0000FF"/>
              </w:rPr>
              <w:t>225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jc w:val="center"/>
              <w:ind w:right="16"/>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jc w:val="center"/>
              <w:ind w:left="179"/>
              <w:spacing w:after="0" w:line="143" w:lineRule="exact"/>
              <w:rPr>
                <w:sz w:val="20"/>
                <w:szCs w:val="20"/>
                <w:color w:val="auto"/>
              </w:rPr>
            </w:pPr>
            <w:r>
              <w:rPr>
                <w:rFonts w:ascii="Times New Roman" w:cs="Times New Roman" w:eastAsia="Times New Roman" w:hAnsi="Times New Roman"/>
                <w:sz w:val="13"/>
                <w:szCs w:val="13"/>
                <w:color w:val="0000FF"/>
              </w:rPr>
              <w:t>225</w:t>
            </w:r>
          </w:p>
        </w:tc>
        <w:tc>
          <w:tcPr>
            <w:tcW w:w="300" w:type="dxa"/>
            <w:vAlign w:val="bottom"/>
          </w:tcPr>
          <w:p>
            <w:pPr>
              <w:spacing w:after="0"/>
              <w:rPr>
                <w:sz w:val="12"/>
                <w:szCs w:val="12"/>
                <w:color w:val="auto"/>
              </w:rPr>
            </w:pPr>
          </w:p>
        </w:tc>
        <w:tc>
          <w:tcPr>
            <w:tcW w:w="60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gridSpan w:val="2"/>
            <w:vMerge w:val="restart"/>
          </w:tcPr>
          <w:p>
            <w:pPr>
              <w:jc w:val="right"/>
              <w:ind w:right="319"/>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8"/>
              <w:spacing w:after="0"/>
              <w:rPr>
                <w:sz w:val="20"/>
                <w:szCs w:val="20"/>
                <w:color w:val="auto"/>
              </w:rPr>
            </w:pPr>
            <w:r>
              <w:rPr>
                <w:rFonts w:ascii="Times New Roman" w:cs="Times New Roman" w:eastAsia="Times New Roman" w:hAnsi="Times New Roman"/>
                <w:sz w:val="17"/>
                <w:szCs w:val="17"/>
                <w:color w:val="0000FF"/>
                <w:w w:val="99"/>
              </w:rPr>
              <w:t>6,315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jc w:val="center"/>
              <w:ind w:right="16"/>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jc w:val="center"/>
              <w:ind w:left="179"/>
              <w:spacing w:after="0" w:line="143" w:lineRule="exact"/>
              <w:rPr>
                <w:sz w:val="20"/>
                <w:szCs w:val="20"/>
                <w:color w:val="auto"/>
              </w:rPr>
            </w:pPr>
            <w:r>
              <w:rPr>
                <w:rFonts w:ascii="Times New Roman" w:cs="Times New Roman" w:eastAsia="Times New Roman" w:hAnsi="Times New Roman"/>
                <w:sz w:val="13"/>
                <w:szCs w:val="13"/>
                <w:color w:val="0000FF"/>
                <w:w w:val="95"/>
              </w:rPr>
              <w:t>6,315</w:t>
            </w:r>
          </w:p>
        </w:tc>
        <w:tc>
          <w:tcPr>
            <w:tcW w:w="300" w:type="dxa"/>
            <w:vAlign w:val="bottom"/>
          </w:tcPr>
          <w:p>
            <w:pPr>
              <w:spacing w:after="0"/>
              <w:rPr>
                <w:sz w:val="12"/>
                <w:szCs w:val="12"/>
                <w:color w:val="auto"/>
              </w:rPr>
            </w:pPr>
          </w:p>
        </w:tc>
        <w:tc>
          <w:tcPr>
            <w:tcW w:w="60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gridSpan w:val="2"/>
            <w:vMerge w:val="restart"/>
          </w:tcPr>
          <w:p>
            <w:pPr>
              <w:jc w:val="right"/>
              <w:ind w:right="319"/>
              <w:spacing w:after="0"/>
              <w:rPr>
                <w:sz w:val="20"/>
                <w:szCs w:val="20"/>
                <w:color w:val="auto"/>
              </w:rPr>
            </w:pPr>
            <w:r>
              <w:rPr>
                <w:rFonts w:ascii="Times New Roman" w:cs="Times New Roman" w:eastAsia="Times New Roman" w:hAnsi="Times New Roman"/>
                <w:sz w:val="11"/>
                <w:szCs w:val="11"/>
                <w:color w:val="008000"/>
              </w:rPr>
              <w:t>(8)</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(8)</w:t>
            </w:r>
          </w:p>
        </w:tc>
        <w:tc>
          <w:tcPr>
            <w:tcW w:w="68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8"/>
              <w:spacing w:after="0"/>
              <w:rPr>
                <w:sz w:val="20"/>
                <w:szCs w:val="20"/>
                <w:color w:val="auto"/>
              </w:rPr>
            </w:pPr>
            <w:r>
              <w:rPr>
                <w:rFonts w:ascii="Times New Roman" w:cs="Times New Roman" w:eastAsia="Times New Roman" w:hAnsi="Times New Roman"/>
                <w:sz w:val="17"/>
                <w:szCs w:val="17"/>
                <w:color w:val="0000FF"/>
              </w:rPr>
              <w:t>139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jc w:val="center"/>
              <w:ind w:right="16"/>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jc w:val="center"/>
              <w:ind w:left="179"/>
              <w:spacing w:after="0" w:line="143" w:lineRule="exact"/>
              <w:rPr>
                <w:sz w:val="20"/>
                <w:szCs w:val="20"/>
                <w:color w:val="auto"/>
              </w:rPr>
            </w:pPr>
            <w:r>
              <w:rPr>
                <w:rFonts w:ascii="Times New Roman" w:cs="Times New Roman" w:eastAsia="Times New Roman" w:hAnsi="Times New Roman"/>
                <w:sz w:val="13"/>
                <w:szCs w:val="13"/>
                <w:color w:val="0000FF"/>
              </w:rPr>
              <w:t>139</w:t>
            </w:r>
          </w:p>
        </w:tc>
        <w:tc>
          <w:tcPr>
            <w:tcW w:w="300" w:type="dxa"/>
            <w:vAlign w:val="bottom"/>
          </w:tcPr>
          <w:p>
            <w:pPr>
              <w:spacing w:after="0"/>
              <w:rPr>
                <w:sz w:val="12"/>
                <w:szCs w:val="12"/>
                <w:color w:val="auto"/>
              </w:rPr>
            </w:pPr>
          </w:p>
        </w:tc>
        <w:tc>
          <w:tcPr>
            <w:tcW w:w="60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gridSpan w:val="2"/>
            <w:vMerge w:val="restart"/>
          </w:tcPr>
          <w:p>
            <w:pPr>
              <w:jc w:val="right"/>
              <w:ind w:right="319"/>
              <w:spacing w:after="0"/>
              <w:rPr>
                <w:sz w:val="20"/>
                <w:szCs w:val="20"/>
                <w:color w:val="auto"/>
              </w:rPr>
            </w:pPr>
            <w:r>
              <w:rPr>
                <w:rFonts w:ascii="Times New Roman" w:cs="Times New Roman" w:eastAsia="Times New Roman" w:hAnsi="Times New Roman"/>
                <w:sz w:val="11"/>
                <w:szCs w:val="11"/>
                <w:color w:val="008000"/>
              </w:rPr>
              <w:t>(9)</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(9)</w:t>
            </w:r>
          </w:p>
        </w:tc>
        <w:tc>
          <w:tcPr>
            <w:tcW w:w="68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8"/>
              <w:spacing w:after="0"/>
              <w:rPr>
                <w:sz w:val="20"/>
                <w:szCs w:val="20"/>
                <w:color w:val="auto"/>
              </w:rPr>
            </w:pPr>
            <w:r>
              <w:rPr>
                <w:rFonts w:ascii="Times New Roman" w:cs="Times New Roman" w:eastAsia="Times New Roman" w:hAnsi="Times New Roman"/>
                <w:sz w:val="17"/>
                <w:szCs w:val="17"/>
                <w:color w:val="0000FF"/>
                <w:w w:val="98"/>
              </w:rPr>
              <w:t>35,753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jc w:val="center"/>
              <w:ind w:right="16"/>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ind w:right="2"/>
              <w:spacing w:after="0" w:line="143" w:lineRule="exact"/>
              <w:rPr>
                <w:sz w:val="20"/>
                <w:szCs w:val="20"/>
                <w:color w:val="auto"/>
              </w:rPr>
            </w:pPr>
            <w:r>
              <w:rPr>
                <w:rFonts w:ascii="Times New Roman" w:cs="Times New Roman" w:eastAsia="Times New Roman" w:hAnsi="Times New Roman"/>
                <w:sz w:val="13"/>
                <w:szCs w:val="13"/>
                <w:color w:val="0000FF"/>
              </w:rPr>
              <w:t>35,753</w:t>
            </w:r>
          </w:p>
        </w:tc>
        <w:tc>
          <w:tcPr>
            <w:tcW w:w="60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-3524885</wp:posOffset>
            </wp:positionV>
            <wp:extent cx="29210" cy="35299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52996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an option that was early exercised by the Reporting Person, and 22,500 shares are subject to the Issuer's right to repurchase as of the date hereof.</w:t>
      </w:r>
    </w:p>
    <w:p>
      <w:pPr>
        <w:spacing w:after="0" w:line="45" w:lineRule="exact"/>
        <w:rPr>
          <w:rFonts w:ascii="Times New Roman" w:cs="Times New Roman" w:eastAsia="Times New Roman" w:hAnsi="Times New Roman"/>
          <w:sz w:val="13"/>
          <w:szCs w:val="13"/>
          <w:color w:val="008000"/>
        </w:rPr>
      </w:pPr>
    </w:p>
    <w:p>
      <w:pPr>
        <w:ind w:left="40" w:right="22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5" w:lineRule="exact"/>
        <w:rPr>
          <w:rFonts w:ascii="Times New Roman" w:cs="Times New Roman" w:eastAsia="Times New Roman" w:hAnsi="Times New Roman"/>
          <w:sz w:val="13"/>
          <w:szCs w:val="13"/>
          <w:color w:val="008000"/>
        </w:rPr>
      </w:pPr>
    </w:p>
    <w:p>
      <w:pPr>
        <w:ind w:left="40" w:right="14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July 23, 2020, the Compensation Committee approved an award of restricted stock units to be granted to the Reporting Person, effective September 4, 2020 (the "RSU"). The number of shares of the Issuer's Class A Common Stock issuable under the RSU was determined by dividing $7,000,000 by the average closing price of the Issuer's Class A Common Stock over the sixty (60) day trading period ending seven days prior to the September 4, 2020 grant date and rounding up to the nearest whole share. The RSU vests as to 1/4th of the shares subject to the RSU on the one-year anniversary of the grant date, with1/12 of the remaining shares vesting in equal quarterly installments over the next three years subject to the Reporting Person's continuous service as of such vesting dates. The RSU is subject to accelerated vesting in the event of termination of employment by the Reporting Person under certain circumstances in connection with a change in control of the Issuer.</w:t>
      </w:r>
    </w:p>
    <w:p>
      <w:pPr>
        <w:spacing w:after="0" w:line="28" w:lineRule="exact"/>
        <w:rPr>
          <w:rFonts w:ascii="Times New Roman" w:cs="Times New Roman" w:eastAsia="Times New Roman" w:hAnsi="Times New Roman"/>
          <w:sz w:val="13"/>
          <w:szCs w:val="13"/>
          <w:color w:val="008000"/>
        </w:rPr>
      </w:pPr>
    </w:p>
    <w:p>
      <w:pPr>
        <w:ind w:left="40" w:right="1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June 8, 2022.</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which will vest in equal quarterly installments over two years.</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Aparna Bawa</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06/07/2022</w:t>
            </w:r>
          </w:p>
        </w:tc>
      </w:tr>
      <w:tr>
        <w:trPr>
          <w:trHeight w:val="20"/>
        </w:trPr>
        <w:tc>
          <w:tcPr>
            <w:tcW w:w="11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90" w:orient="portrait"/>
          <w:cols w:equalWidth="0" w:num="1">
            <w:col w:w="11080"/>
          </w:cols>
          <w:pgMar w:left="460" w:top="216" w:right="359" w:bottom="0" w:gutter="0" w:footer="0" w:header="0"/>
          <w:type w:val="continuous"/>
        </w:sectPr>
      </w:pPr>
    </w:p>
    <w:bookmarkStart w:id="1" w:name="page2"/>
    <w:bookmarkEnd w:id="1"/>
    <w:p>
      <w:pPr>
        <w:jc w:val="both"/>
        <w:ind w:right="2459" w:firstLine="3"/>
        <w:spacing w:after="0" w:line="338"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2022-06-07T18:26:33Z</dcterms:created>
  <dcterms:modified xsi:type="dcterms:W3CDTF">2022-06-07T18:26:33Z</dcterms:modified>
</cp:coreProperties>
</file>