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9"/>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SEC Form 3</w:t>
            </w:r>
          </w:p>
        </w:tc>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00" w:type="dxa"/>
            <w:vAlign w:val="bottom"/>
          </w:tcPr>
          <w:p>
            <w:pPr>
              <w:ind w:left="760"/>
              <w:spacing w:after="0" w:line="200" w:lineRule="exact"/>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58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12"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2200" w:type="dxa"/>
            <w:vAlign w:val="bottom"/>
          </w:tcPr>
          <w:p>
            <w:pPr>
              <w:spacing w:after="0"/>
              <w:rPr>
                <w:sz w:val="6"/>
                <w:szCs w:val="6"/>
                <w:color w:val="auto"/>
              </w:rPr>
            </w:pPr>
          </w:p>
        </w:tc>
        <w:tc>
          <w:tcPr>
            <w:tcW w:w="66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0"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6965950</wp:posOffset>
            </wp:positionH>
            <wp:positionV relativeFrom="paragraph">
              <wp:posOffset>-469900</wp:posOffset>
            </wp:positionV>
            <wp:extent cx="6350" cy="4705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50" cy="470535"/>
                    </a:xfrm>
                    <a:prstGeom prst="rect">
                      <a:avLst/>
                    </a:prstGeom>
                    <a:noFill/>
                  </pic:spPr>
                </pic:pic>
              </a:graphicData>
            </a:graphic>
          </wp:anchor>
        </w:drawing>
        <w:drawing>
          <wp:anchor simplePos="0" relativeHeight="251657728" behindDoc="1" locked="0" layoutInCell="0" allowOverlap="1">
            <wp:simplePos x="0" y="0"/>
            <wp:positionH relativeFrom="column">
              <wp:posOffset>5624830</wp:posOffset>
            </wp:positionH>
            <wp:positionV relativeFrom="paragraph">
              <wp:posOffset>-476250</wp:posOffset>
            </wp:positionV>
            <wp:extent cx="6350" cy="476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0" cy="476885"/>
                    </a:xfrm>
                    <a:prstGeom prst="rect">
                      <a:avLst/>
                    </a:prstGeom>
                    <a:noFill/>
                  </pic:spPr>
                </pic:pic>
              </a:graphicData>
            </a:graphic>
          </wp:anchor>
        </w:drawing>
        <w:drawing>
          <wp:anchor simplePos="0" relativeHeight="251657728" behindDoc="1" locked="0" layoutInCell="0" allowOverlap="1">
            <wp:simplePos x="0" y="0"/>
            <wp:positionH relativeFrom="column">
              <wp:posOffset>5643880</wp:posOffset>
            </wp:positionH>
            <wp:positionV relativeFrom="paragraph">
              <wp:posOffset>-457200</wp:posOffset>
            </wp:positionV>
            <wp:extent cx="1309370" cy="438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9370" cy="4387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6997700" cy="1353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1353820"/>
                    </a:xfrm>
                    <a:prstGeom prst="rect">
                      <a:avLst/>
                    </a:prstGeom>
                    <a:noFill/>
                  </pic:spPr>
                </pic:pic>
              </a:graphicData>
            </a:graphic>
          </wp:anchor>
        </w:drawing>
      </w:r>
    </w:p>
    <w:p>
      <w:pPr>
        <w:sectPr>
          <w:pgSz w:w="11900" w:h="16838" w:orient="portrait"/>
          <w:cols w:equalWidth="0" w:num="1">
            <w:col w:w="11020"/>
          </w:cols>
          <w:pgMar w:left="440" w:top="199" w:right="439" w:bottom="1440" w:gutter="0" w:footer="0" w:header="0"/>
        </w:sectPr>
      </w:pPr>
    </w:p>
    <w:p>
      <w:pPr>
        <w:spacing w:after="0" w:line="89" w:lineRule="exact"/>
        <w:rPr>
          <w:sz w:val="24"/>
          <w:szCs w:val="24"/>
          <w:color w:val="auto"/>
        </w:r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p>
      <w:pPr>
        <w:ind w:left="100"/>
        <w:spacing w:after="0"/>
        <w:rPr>
          <w:rFonts w:ascii="Times New Roman" w:cs="Times New Roman" w:eastAsia="Times New Roman" w:hAnsi="Times New Roman"/>
          <w:sz w:val="16"/>
          <w:szCs w:val="16"/>
          <w:u w:val="single" w:color="auto"/>
          <w:color w:val="0000EE"/>
        </w:rPr>
      </w:pPr>
      <w:hyperlink r:id="rId12">
        <w:r>
          <w:rPr>
            <w:rFonts w:ascii="Times New Roman" w:cs="Times New Roman" w:eastAsia="Times New Roman" w:hAnsi="Times New Roman"/>
            <w:sz w:val="16"/>
            <w:szCs w:val="16"/>
            <w:u w:val="single" w:color="auto"/>
            <w:color w:val="0000EE"/>
          </w:rPr>
          <w:t>Napolitano Janet</w:t>
        </w:r>
      </w:hyperlink>
    </w:p>
    <w:p>
      <w:pPr>
        <w:spacing w:after="0" w:line="224"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ind w:left="7" w:hanging="7"/>
        <w:spacing w:after="0" w:line="274" w:lineRule="auto"/>
        <w:tabs>
          <w:tab w:leader="none" w:pos="118"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spacing w:after="0" w:line="1" w:lineRule="exact"/>
        <w:rPr>
          <w:sz w:val="24"/>
          <w:szCs w:val="24"/>
          <w:color w:val="auto"/>
        </w:rPr>
      </w:pPr>
    </w:p>
    <w:p>
      <w:pPr>
        <w:ind w:left="7"/>
        <w:spacing w:after="0"/>
        <w:rPr>
          <w:sz w:val="20"/>
          <w:szCs w:val="20"/>
          <w:color w:val="auto"/>
        </w:rPr>
      </w:pPr>
      <w:r>
        <w:rPr>
          <w:rFonts w:ascii="Times New Roman" w:cs="Times New Roman" w:eastAsia="Times New Roman" w:hAnsi="Times New Roman"/>
          <w:sz w:val="13"/>
          <w:szCs w:val="13"/>
          <w:color w:val="0000FF"/>
        </w:rPr>
        <w:t>11/02/2020</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7" w:lineRule="exact"/>
        <w:rPr>
          <w:sz w:val="24"/>
          <w:szCs w:val="24"/>
          <w:color w:val="auto"/>
        </w:rPr>
      </w:pPr>
    </w:p>
    <w:p>
      <w:pPr>
        <w:spacing w:after="0"/>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u w:val="single" w:color="auto"/>
            <w:color w:val="0000EE"/>
          </w:rPr>
          <w:t>Zoom Video Communications, Inc.</w:t>
        </w:r>
        <w:r>
          <w:rPr>
            <w:rFonts w:ascii="Times New Roman" w:cs="Times New Roman" w:eastAsia="Times New Roman" w:hAnsi="Times New Roman"/>
            <w:sz w:val="15"/>
            <w:szCs w:val="15"/>
            <w:color w:val="0000EE"/>
          </w:rPr>
          <w:t xml:space="preserve">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ZM</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p>
      <w:pPr>
        <w:spacing w:after="0" w:line="411" w:lineRule="exact"/>
        <w:rPr>
          <w:sz w:val="24"/>
          <w:szCs w:val="24"/>
          <w:color w:val="auto"/>
        </w:rPr>
      </w:pPr>
    </w:p>
    <w:p>
      <w:pPr>
        <w:sectPr>
          <w:pgSz w:w="11900" w:h="16838" w:orient="portrait"/>
          <w:cols w:equalWidth="0" w:num="3">
            <w:col w:w="2633" w:space="720"/>
            <w:col w:w="1267" w:space="380"/>
            <w:col w:w="6020"/>
          </w:cols>
          <w:pgMar w:left="440" w:top="199" w:right="439" w:bottom="1440" w:gutter="0" w:footer="0" w:header="0"/>
          <w:type w:val="continuous"/>
        </w:sectPr>
      </w:pPr>
    </w:p>
    <w:p>
      <w:pPr>
        <w:spacing w:after="0" w:line="60"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2"/>
          <w:szCs w:val="12"/>
          <w:color w:val="0000FF"/>
        </w:rPr>
        <w:t>C/O ZOOM VIDEO COMMUNICATIONS, INC.</w:t>
      </w:r>
    </w:p>
    <w:p>
      <w:pPr>
        <w:spacing w:after="0" w:line="6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55 ALMADEN BOULEVARD, SIXTH FLOOR</w:t>
      </w:r>
    </w:p>
    <w:p>
      <w:pPr>
        <w:spacing w:after="0" w:line="218" w:lineRule="exact"/>
        <w:rPr>
          <w:sz w:val="24"/>
          <w:szCs w:val="24"/>
          <w:color w:val="auto"/>
        </w:rPr>
      </w:pPr>
    </w:p>
    <w:p>
      <w:pPr>
        <w:ind w:left="60"/>
        <w:spacing w:after="0"/>
        <w:rPr>
          <w:sz w:val="20"/>
          <w:szCs w:val="20"/>
          <w:color w:val="auto"/>
        </w:rPr>
      </w:pPr>
      <w:r>
        <w:rPr>
          <w:rFonts w:ascii="Arial" w:cs="Arial" w:eastAsia="Arial" w:hAnsi="Arial"/>
          <w:sz w:val="10"/>
          <w:szCs w:val="10"/>
          <w:color w:val="auto"/>
        </w:rPr>
        <w:t>(Street)</w:t>
      </w:r>
    </w:p>
    <w:p>
      <w:pPr>
        <w:spacing w:after="0" w:line="28" w:lineRule="exact"/>
        <w:rPr>
          <w:sz w:val="24"/>
          <w:szCs w:val="24"/>
          <w:color w:val="auto"/>
        </w:rPr>
      </w:pPr>
    </w:p>
    <w:p>
      <w:pPr>
        <w:ind w:left="100"/>
        <w:spacing w:after="0"/>
        <w:tabs>
          <w:tab w:leader="none" w:pos="1120" w:val="left"/>
          <w:tab w:leader="none" w:pos="2180" w:val="left"/>
        </w:tabs>
        <w:rPr>
          <w:sz w:val="20"/>
          <w:szCs w:val="20"/>
          <w:color w:val="auto"/>
        </w:rPr>
      </w:pPr>
      <w:r>
        <w:rPr>
          <w:rFonts w:ascii="Times New Roman" w:cs="Times New Roman" w:eastAsia="Times New Roman" w:hAnsi="Times New Roman"/>
          <w:sz w:val="13"/>
          <w:szCs w:val="13"/>
          <w:color w:val="0000FF"/>
        </w:rPr>
        <w:t>SAN JOSE</w:t>
      </w:r>
      <w:r>
        <w:rPr>
          <w:sz w:val="20"/>
          <w:szCs w:val="20"/>
          <w:color w:val="auto"/>
        </w:rPr>
        <w:tab/>
      </w:r>
      <w:r>
        <w:rPr>
          <w:rFonts w:ascii="Times New Roman" w:cs="Times New Roman" w:eastAsia="Times New Roman" w:hAnsi="Times New Roman"/>
          <w:sz w:val="13"/>
          <w:szCs w:val="13"/>
          <w:color w:val="0000FF"/>
        </w:rPr>
        <w:t>CA</w:t>
      </w:r>
      <w:r>
        <w:rPr>
          <w:sz w:val="20"/>
          <w:szCs w:val="20"/>
          <w:color w:val="auto"/>
        </w:rPr>
        <w:tab/>
      </w:r>
      <w:r>
        <w:rPr>
          <w:rFonts w:ascii="Times New Roman" w:cs="Times New Roman" w:eastAsia="Times New Roman" w:hAnsi="Times New Roman"/>
          <w:sz w:val="12"/>
          <w:szCs w:val="12"/>
          <w:color w:val="0000FF"/>
        </w:rPr>
        <w:t>95113</w:t>
      </w:r>
    </w:p>
    <w:p>
      <w:pPr>
        <w:spacing w:after="0" w:line="20" w:lineRule="exact"/>
        <w:rPr>
          <w:sz w:val="24"/>
          <w:szCs w:val="24"/>
          <w:color w:val="auto"/>
        </w:rPr>
      </w:pPr>
      <w:r>
        <w:rPr>
          <w:sz w:val="24"/>
          <w:szCs w:val="24"/>
          <w:color w:val="auto"/>
        </w:rPr>
        <w:br w:type="column"/>
      </w:r>
    </w:p>
    <w:p>
      <w:pPr>
        <w:ind w:left="5" w:right="940" w:hanging="5"/>
        <w:spacing w:after="0" w:line="245" w:lineRule="auto"/>
        <w:tabs>
          <w:tab w:leader="none" w:pos="117" w:val="left"/>
        </w:tabs>
        <w:numPr>
          <w:ilvl w:val="0"/>
          <w:numId w:val="2"/>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ind w:left="205"/>
        <w:spacing w:after="0"/>
        <w:tabs>
          <w:tab w:leader="none" w:pos="505" w:val="left"/>
          <w:tab w:leader="none" w:pos="2085" w:val="left"/>
        </w:tabs>
        <w:rPr>
          <w:sz w:val="20"/>
          <w:szCs w:val="20"/>
          <w:color w:val="auto"/>
        </w:rPr>
      </w:pPr>
      <w:r>
        <w:rPr>
          <w:rFonts w:ascii="Times New Roman" w:cs="Times New Roman" w:eastAsia="Times New Roman" w:hAnsi="Times New Roman"/>
          <w:sz w:val="13"/>
          <w:szCs w:val="13"/>
          <w:color w:val="0000FF"/>
        </w:rPr>
        <w:t>X</w:t>
      </w:r>
      <w:r>
        <w:rPr>
          <w:sz w:val="20"/>
          <w:szCs w:val="20"/>
          <w:color w:val="auto"/>
        </w:rPr>
        <w:tab/>
      </w:r>
      <w:r>
        <w:rPr>
          <w:rFonts w:ascii="Arial" w:cs="Arial" w:eastAsia="Arial" w:hAnsi="Arial"/>
          <w:sz w:val="10"/>
          <w:szCs w:val="10"/>
          <w:color w:val="auto"/>
        </w:rPr>
        <w:t>Director</w:t>
      </w:r>
      <w:r>
        <w:rPr>
          <w:sz w:val="20"/>
          <w:szCs w:val="20"/>
          <w:color w:val="auto"/>
        </w:rPr>
        <w:tab/>
      </w:r>
      <w:r>
        <w:rPr>
          <w:rFonts w:ascii="Arial" w:cs="Arial" w:eastAsia="Arial" w:hAnsi="Arial"/>
          <w:sz w:val="9"/>
          <w:szCs w:val="9"/>
          <w:color w:val="auto"/>
        </w:rPr>
        <w:t>10% Owner</w:t>
      </w:r>
    </w:p>
    <w:p>
      <w:pPr>
        <w:spacing w:after="0" w:line="6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3"/>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53" w:lineRule="exact"/>
        <w:rPr>
          <w:rFonts w:ascii="Arial" w:cs="Arial" w:eastAsia="Arial" w:hAnsi="Arial"/>
          <w:sz w:val="10"/>
          <w:szCs w:val="10"/>
          <w:color w:val="auto"/>
        </w:rPr>
      </w:pPr>
    </w:p>
    <w:p>
      <w:pPr>
        <w:ind w:left="173" w:right="180" w:hanging="173"/>
        <w:spacing w:after="0" w:line="308" w:lineRule="auto"/>
        <w:tabs>
          <w:tab w:leader="none" w:pos="111" w:val="left"/>
        </w:tabs>
        <w:numPr>
          <w:ilvl w:val="0"/>
          <w:numId w:val="3"/>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Times New Roman" w:cs="Times New Roman" w:eastAsia="Times New Roman" w:hAnsi="Times New Roman"/>
          <w:sz w:val="13"/>
          <w:szCs w:val="13"/>
          <w:color w:val="0000FF"/>
        </w:rPr>
        <w:t xml:space="preserve">X </w:t>
      </w:r>
      <w:r>
        <w:rPr>
          <w:rFonts w:ascii="Arial" w:cs="Arial" w:eastAsia="Arial" w:hAnsi="Arial"/>
          <w:sz w:val="10"/>
          <w:szCs w:val="10"/>
          <w:color w:val="000000"/>
        </w:rPr>
        <w:t>Form filed by One Reporting Person</w:t>
      </w: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297" w:lineRule="exact"/>
        <w:rPr>
          <w:sz w:val="24"/>
          <w:szCs w:val="24"/>
          <w:color w:val="auto"/>
        </w:rPr>
      </w:pPr>
    </w:p>
    <w:p>
      <w:pPr>
        <w:sectPr>
          <w:pgSz w:w="11900" w:h="16838" w:orient="portrait"/>
          <w:cols w:equalWidth="0" w:num="3">
            <w:col w:w="4275" w:space="720"/>
            <w:col w:w="3045" w:space="247"/>
            <w:col w:w="2733"/>
          </w:cols>
          <w:pgMar w:left="440" w:top="199" w:right="439" w:bottom="1440" w:gutter="0" w:footer="0" w:header="0"/>
          <w:type w:val="continuous"/>
        </w:sectPr>
      </w:pPr>
    </w:p>
    <w:p>
      <w:pPr>
        <w:spacing w:after="0" w:line="48"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6997700" cy="445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97700" cy="445135"/>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80" w:type="dxa"/>
            <w:vAlign w:val="bottom"/>
            <w:gridSpan w:val="2"/>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41"/>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49"/>
        </w:trPr>
        <w:tc>
          <w:tcPr>
            <w:tcW w:w="20" w:type="dxa"/>
            <w:vAlign w:val="bottom"/>
            <w:tcBorders>
              <w:bottom w:val="single" w:sz="8" w:color="2C2C2C"/>
            </w:tcBorders>
          </w:tcPr>
          <w:p>
            <w:pPr>
              <w:spacing w:after="0"/>
              <w:rPr>
                <w:sz w:val="3"/>
                <w:szCs w:val="3"/>
                <w:color w:val="auto"/>
              </w:rPr>
            </w:pPr>
          </w:p>
        </w:tc>
        <w:tc>
          <w:tcPr>
            <w:tcW w:w="3100" w:type="dxa"/>
            <w:vAlign w:val="bottom"/>
            <w:tcBorders>
              <w:bottom w:val="single" w:sz="8" w:color="2C2C2C"/>
            </w:tcBorders>
          </w:tcPr>
          <w:p>
            <w:pPr>
              <w:spacing w:after="0"/>
              <w:rPr>
                <w:sz w:val="3"/>
                <w:szCs w:val="3"/>
                <w:color w:val="auto"/>
              </w:rPr>
            </w:pPr>
          </w:p>
        </w:tc>
        <w:tc>
          <w:tcPr>
            <w:tcW w:w="36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00" w:type="dxa"/>
            <w:vAlign w:val="bottom"/>
            <w:tcBorders>
              <w:top w:val="single" w:sz="8" w:color="808080"/>
            </w:tcBorders>
            <w:shd w:val="clear" w:color="auto" w:fill="2C2C2C"/>
          </w:tcPr>
          <w:p>
            <w:pPr>
              <w:spacing w:after="0" w:line="20" w:lineRule="exact"/>
              <w:rPr>
                <w:sz w:val="1"/>
                <w:szCs w:val="1"/>
                <w:color w:val="auto"/>
              </w:rPr>
            </w:pPr>
          </w:p>
        </w:tc>
        <w:tc>
          <w:tcPr>
            <w:tcW w:w="368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6997700" cy="813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700" cy="813435"/>
                    </a:xfrm>
                    <a:prstGeom prst="rect">
                      <a:avLst/>
                    </a:prstGeom>
                    <a:noFill/>
                  </pic:spPr>
                </pic:pic>
              </a:graphicData>
            </a:graphic>
          </wp:anchor>
        </w:drawing>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30480</wp:posOffset>
            </wp:positionV>
            <wp:extent cx="6985000" cy="546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85000" cy="546735"/>
                    </a:xfrm>
                    <a:prstGeom prst="rect">
                      <a:avLst/>
                    </a:prstGeom>
                    <a:noFill/>
                  </pic:spPr>
                </pic:pic>
              </a:graphicData>
            </a:graphic>
          </wp:anchor>
        </w:drawing>
      </w:r>
    </w:p>
    <w:p>
      <w:pPr>
        <w:spacing w:after="0" w:line="59"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3740" w:type="dxa"/>
            <w:vAlign w:val="bottom"/>
          </w:tcPr>
          <w:p>
            <w:pPr>
              <w:ind w:left="60"/>
              <w:spacing w:after="0"/>
              <w:rPr>
                <w:sz w:val="20"/>
                <w:szCs w:val="20"/>
                <w:color w:val="auto"/>
              </w:rPr>
            </w:pPr>
            <w:r>
              <w:rPr>
                <w:rFonts w:ascii="Arial" w:cs="Arial" w:eastAsia="Arial" w:hAnsi="Arial"/>
                <w:sz w:val="10"/>
                <w:szCs w:val="10"/>
                <w:b w:val="1"/>
                <w:bCs w:val="1"/>
                <w:color w:val="auto"/>
              </w:rPr>
              <w:t>1. Title of Derivative Security (Instr. 4)</w:t>
            </w: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0" w:type="dxa"/>
            <w:vAlign w:val="bottom"/>
          </w:tcPr>
          <w:p>
            <w:pPr>
              <w:spacing w:after="0"/>
              <w:rPr>
                <w:sz w:val="10"/>
                <w:szCs w:val="10"/>
                <w:color w:val="auto"/>
              </w:rPr>
            </w:pPr>
          </w:p>
        </w:tc>
        <w:tc>
          <w:tcPr>
            <w:tcW w:w="940" w:type="dxa"/>
            <w:vAlign w:val="bottom"/>
            <w:gridSpan w:val="3"/>
          </w:tcPr>
          <w:p>
            <w:pPr>
              <w:ind w:left="80"/>
              <w:spacing w:after="0"/>
              <w:rPr>
                <w:sz w:val="20"/>
                <w:szCs w:val="20"/>
                <w:color w:val="auto"/>
              </w:rPr>
            </w:pPr>
            <w:r>
              <w:rPr>
                <w:rFonts w:ascii="Arial" w:cs="Arial" w:eastAsia="Arial" w:hAnsi="Arial"/>
                <w:sz w:val="10"/>
                <w:szCs w:val="10"/>
                <w:b w:val="1"/>
                <w:bCs w:val="1"/>
                <w:color w:val="auto"/>
              </w:rPr>
              <w:t>5. Ownership</w:t>
            </w:r>
          </w:p>
        </w:tc>
        <w:tc>
          <w:tcPr>
            <w:tcW w:w="1580" w:type="dxa"/>
            <w:vAlign w:val="bottom"/>
          </w:tcPr>
          <w:p>
            <w:pPr>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64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1140" w:type="dxa"/>
            <w:vAlign w:val="bottom"/>
          </w:tcPr>
          <w:p>
            <w:pPr>
              <w:spacing w:after="0"/>
              <w:rPr>
                <w:sz w:val="9"/>
                <w:szCs w:val="9"/>
                <w:color w:val="auto"/>
              </w:rPr>
            </w:pPr>
          </w:p>
        </w:tc>
        <w:tc>
          <w:tcPr>
            <w:tcW w:w="74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20" w:type="dxa"/>
            <w:vAlign w:val="bottom"/>
            <w:gridSpan w:val="4"/>
          </w:tcPr>
          <w:p>
            <w:pPr>
              <w:ind w:left="8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6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940" w:type="dxa"/>
            <w:vAlign w:val="bottom"/>
            <w:gridSpan w:val="3"/>
          </w:tcPr>
          <w:p>
            <w:pPr>
              <w:ind w:left="80"/>
              <w:spacing w:after="0" w:line="110" w:lineRule="exact"/>
              <w:rPr>
                <w:sz w:val="20"/>
                <w:szCs w:val="20"/>
                <w:color w:val="auto"/>
              </w:rPr>
            </w:pPr>
            <w:r>
              <w:rPr>
                <w:rFonts w:ascii="Arial" w:cs="Arial" w:eastAsia="Arial" w:hAnsi="Arial"/>
                <w:sz w:val="10"/>
                <w:szCs w:val="10"/>
                <w:b w:val="1"/>
                <w:bCs w:val="1"/>
                <w:color w:val="auto"/>
              </w:rPr>
              <w:t>or Indirect (I)</w:t>
            </w: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37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gridSpan w:val="2"/>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940" w:type="dxa"/>
            <w:vAlign w:val="bottom"/>
            <w:gridSpan w:val="3"/>
            <w:vMerge w:val="restart"/>
          </w:tcPr>
          <w:p>
            <w:pPr>
              <w:ind w:left="80"/>
              <w:spacing w:after="0" w:line="110" w:lineRule="exact"/>
              <w:rPr>
                <w:sz w:val="20"/>
                <w:szCs w:val="20"/>
                <w:color w:val="auto"/>
              </w:rPr>
            </w:pPr>
            <w:r>
              <w:rPr>
                <w:rFonts w:ascii="Arial" w:cs="Arial" w:eastAsia="Arial" w:hAnsi="Arial"/>
                <w:sz w:val="10"/>
                <w:szCs w:val="10"/>
                <w:b w:val="1"/>
                <w:bCs w:val="1"/>
                <w:color w:val="auto"/>
              </w:rPr>
              <w:t>(Instr. 5)</w:t>
            </w: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
        </w:trPr>
        <w:tc>
          <w:tcPr>
            <w:tcW w:w="3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40" w:type="dxa"/>
            <w:vAlign w:val="bottom"/>
            <w:vMerge w:val="restart"/>
          </w:tcPr>
          <w:p>
            <w:pPr>
              <w:ind w:left="540"/>
              <w:spacing w:after="0"/>
              <w:rPr>
                <w:sz w:val="20"/>
                <w:szCs w:val="20"/>
                <w:color w:val="auto"/>
              </w:rPr>
            </w:pPr>
            <w:r>
              <w:rPr>
                <w:rFonts w:ascii="Arial" w:cs="Arial" w:eastAsia="Arial" w:hAnsi="Arial"/>
                <w:sz w:val="10"/>
                <w:szCs w:val="10"/>
                <w:b w:val="1"/>
                <w:bCs w:val="1"/>
                <w:color w:val="auto"/>
              </w:rPr>
              <w:t>Amount or</w:t>
            </w:r>
          </w:p>
        </w:tc>
        <w:tc>
          <w:tcPr>
            <w:tcW w:w="740" w:type="dxa"/>
            <w:vAlign w:val="bottom"/>
            <w:gridSpan w:val="2"/>
            <w:vMerge w:val="continue"/>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5"/>
        </w:trPr>
        <w:tc>
          <w:tcPr>
            <w:tcW w:w="3740" w:type="dxa"/>
            <w:vAlign w:val="bottom"/>
          </w:tcPr>
          <w:p>
            <w:pPr>
              <w:spacing w:after="0"/>
              <w:rPr>
                <w:sz w:val="9"/>
                <w:szCs w:val="9"/>
                <w:color w:val="auto"/>
              </w:rPr>
            </w:pPr>
          </w:p>
        </w:tc>
        <w:tc>
          <w:tcPr>
            <w:tcW w:w="66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Date</w:t>
            </w:r>
          </w:p>
        </w:tc>
        <w:tc>
          <w:tcPr>
            <w:tcW w:w="58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Expiration</w:t>
            </w:r>
          </w:p>
        </w:tc>
        <w:tc>
          <w:tcPr>
            <w:tcW w:w="16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740" w:type="dxa"/>
            <w:vAlign w:val="bottom"/>
            <w:gridSpan w:val="2"/>
          </w:tcPr>
          <w:p>
            <w:pPr>
              <w:ind w:left="60"/>
              <w:spacing w:after="0" w:line="105" w:lineRule="exact"/>
              <w:rPr>
                <w:sz w:val="20"/>
                <w:szCs w:val="20"/>
                <w:color w:val="auto"/>
              </w:rPr>
            </w:pPr>
            <w:r>
              <w:rPr>
                <w:rFonts w:ascii="Arial" w:cs="Arial" w:eastAsia="Arial" w:hAnsi="Arial"/>
                <w:sz w:val="10"/>
                <w:szCs w:val="10"/>
                <w:b w:val="1"/>
                <w:bCs w:val="1"/>
                <w:color w:val="auto"/>
              </w:rPr>
              <w:t>Derivative</w:t>
            </w: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164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1140" w:type="dxa"/>
            <w:vAlign w:val="bottom"/>
          </w:tcPr>
          <w:p>
            <w:pPr>
              <w:ind w:left="540"/>
              <w:spacing w:after="0" w:line="110" w:lineRule="exact"/>
              <w:rPr>
                <w:sz w:val="20"/>
                <w:szCs w:val="20"/>
                <w:color w:val="auto"/>
              </w:rPr>
            </w:pPr>
            <w:r>
              <w:rPr>
                <w:rFonts w:ascii="Arial" w:cs="Arial" w:eastAsia="Arial" w:hAnsi="Arial"/>
                <w:sz w:val="10"/>
                <w:szCs w:val="10"/>
                <w:b w:val="1"/>
                <w:bCs w:val="1"/>
                <w:color w:val="auto"/>
              </w:rPr>
              <w:t>Number of</w:t>
            </w:r>
          </w:p>
        </w:tc>
        <w:tc>
          <w:tcPr>
            <w:tcW w:w="74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37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Borders>
              <w:bottom w:val="single" w:sz="8" w:color="2C2C2C"/>
            </w:tcBorders>
          </w:tcPr>
          <w:p>
            <w:pPr>
              <w:ind w:left="40"/>
              <w:spacing w:after="0"/>
              <w:rPr>
                <w:sz w:val="20"/>
                <w:szCs w:val="20"/>
                <w:color w:val="auto"/>
              </w:rPr>
            </w:pPr>
            <w:r>
              <w:rPr>
                <w:rFonts w:ascii="Arial" w:cs="Arial" w:eastAsia="Arial" w:hAnsi="Arial"/>
                <w:sz w:val="10"/>
                <w:szCs w:val="10"/>
                <w:b w:val="1"/>
                <w:bCs w:val="1"/>
                <w:color w:val="auto"/>
              </w:rPr>
              <w:t>Date</w:t>
            </w:r>
          </w:p>
        </w:tc>
        <w:tc>
          <w:tcPr>
            <w:tcW w:w="1640" w:type="dxa"/>
            <w:vAlign w:val="bottom"/>
            <w:tcBorders>
              <w:bottom w:val="single" w:sz="8" w:color="2C2C2C"/>
            </w:tcBorders>
            <w:vMerge w:val="continue"/>
          </w:tcPr>
          <w:p>
            <w:pPr>
              <w:spacing w:after="0"/>
              <w:rPr>
                <w:sz w:val="13"/>
                <w:szCs w:val="13"/>
                <w:color w:val="auto"/>
              </w:rPr>
            </w:pPr>
          </w:p>
        </w:tc>
        <w:tc>
          <w:tcPr>
            <w:tcW w:w="1140" w:type="dxa"/>
            <w:vAlign w:val="bottom"/>
            <w:tcBorders>
              <w:bottom w:val="single" w:sz="8" w:color="2C2C2C"/>
            </w:tcBorders>
          </w:tcPr>
          <w:p>
            <w:pPr>
              <w:ind w:left="540"/>
              <w:spacing w:after="0"/>
              <w:rPr>
                <w:sz w:val="20"/>
                <w:szCs w:val="20"/>
                <w:color w:val="auto"/>
              </w:rPr>
            </w:pPr>
            <w:r>
              <w:rPr>
                <w:rFonts w:ascii="Arial" w:cs="Arial" w:eastAsia="Arial" w:hAnsi="Arial"/>
                <w:sz w:val="10"/>
                <w:szCs w:val="10"/>
                <w:b w:val="1"/>
                <w:bCs w:val="1"/>
                <w:color w:val="auto"/>
              </w:rPr>
              <w:t>Shares</w:t>
            </w:r>
          </w:p>
        </w:tc>
        <w:tc>
          <w:tcPr>
            <w:tcW w:w="6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58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40" w:type="dxa"/>
            <w:vAlign w:val="bottom"/>
          </w:tcPr>
          <w:p>
            <w:pPr>
              <w:ind w:left="40"/>
              <w:spacing w:after="0"/>
              <w:rPr>
                <w:sz w:val="20"/>
                <w:szCs w:val="20"/>
                <w:color w:val="auto"/>
              </w:rPr>
            </w:pPr>
            <w:r>
              <w:rPr>
                <w:rFonts w:ascii="Arial" w:cs="Arial" w:eastAsia="Arial" w:hAnsi="Arial"/>
                <w:sz w:val="10"/>
                <w:szCs w:val="10"/>
                <w:b w:val="1"/>
                <w:bCs w:val="1"/>
                <w:color w:val="auto"/>
              </w:rPr>
              <w:t>Explanation of Responses:</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740" w:type="dxa"/>
            <w:vAlign w:val="bottom"/>
          </w:tcPr>
          <w:p>
            <w:pPr>
              <w:ind w:left="40"/>
              <w:spacing w:after="0"/>
              <w:rPr>
                <w:sz w:val="20"/>
                <w:szCs w:val="20"/>
                <w:color w:val="auto"/>
              </w:rPr>
            </w:pPr>
            <w:r>
              <w:rPr>
                <w:rFonts w:ascii="Arial" w:cs="Arial" w:eastAsia="Arial" w:hAnsi="Arial"/>
                <w:sz w:val="13"/>
                <w:szCs w:val="13"/>
                <w:b w:val="1"/>
                <w:bCs w:val="1"/>
                <w:color w:val="auto"/>
              </w:rPr>
              <w:t>Remarks:</w:t>
            </w: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740" w:type="dxa"/>
            <w:vAlign w:val="bottom"/>
          </w:tcPr>
          <w:p>
            <w:pPr>
              <w:ind w:left="40"/>
              <w:spacing w:after="0"/>
              <w:rPr>
                <w:sz w:val="20"/>
                <w:szCs w:val="20"/>
                <w:color w:val="auto"/>
              </w:rPr>
            </w:pPr>
            <w:r>
              <w:rPr>
                <w:rFonts w:ascii="Arial" w:cs="Arial" w:eastAsia="Arial" w:hAnsi="Arial"/>
                <w:sz w:val="10"/>
                <w:szCs w:val="10"/>
                <w:b w:val="1"/>
                <w:bCs w:val="1"/>
                <w:color w:val="auto"/>
              </w:rPr>
              <w:t>No securities are beneficially owned.</w:t>
            </w: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/s/ Aparna Bawa, Attorney-in-Fact</w:t>
            </w:r>
          </w:p>
        </w:tc>
        <w:tc>
          <w:tcPr>
            <w:tcW w:w="9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0000FF"/>
              </w:rPr>
              <w:t>11/04/2020</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00" w:type="dxa"/>
            <w:vAlign w:val="bottom"/>
            <w:tcBorders>
              <w:top w:val="single" w:sz="8" w:color="auto"/>
            </w:tcBorders>
            <w:gridSpan w:val="2"/>
          </w:tcPr>
          <w:p>
            <w:pPr>
              <w:spacing w:after="0"/>
              <w:rPr>
                <w:sz w:val="20"/>
                <w:szCs w:val="20"/>
                <w:color w:val="auto"/>
              </w:rPr>
            </w:pPr>
            <w:r>
              <w:rPr>
                <w:rFonts w:ascii="Arial" w:cs="Arial" w:eastAsia="Arial" w:hAnsi="Arial"/>
                <w:sz w:val="10"/>
                <w:szCs w:val="10"/>
                <w:color w:val="auto"/>
              </w:rPr>
              <w:t>** Signature of Reporting Person</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6"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35" w:lineRule="exact"/>
        <w:rPr>
          <w:sz w:val="24"/>
          <w:szCs w:val="24"/>
          <w:color w:val="auto"/>
        </w:rPr>
      </w:pPr>
    </w:p>
    <w:p>
      <w:pPr>
        <w:jc w:val="both"/>
        <w:ind w:left="40" w:right="5220" w:hanging="10"/>
        <w:spacing w:after="0" w:line="345" w:lineRule="auto"/>
        <w:tabs>
          <w:tab w:leader="none" w:pos="146" w:val="left"/>
        </w:tabs>
        <w:numPr>
          <w:ilvl w:val="0"/>
          <w:numId w:val="4"/>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persons by these presents that the undersigned hereby constitutes and appoints each of Aparna Bawa, Jeff True, Tiffany Hui, Jon Avina</w:t>
      </w:r>
    </w:p>
    <w:p>
      <w:pPr>
        <w:spacing w:after="0" w:line="153" w:lineRule="exact"/>
        <w:rPr>
          <w:sz w:val="20"/>
          <w:szCs w:val="20"/>
          <w:color w:val="auto"/>
        </w:rPr>
      </w:pPr>
    </w:p>
    <w:p>
      <w:pPr>
        <w:ind w:left="320" w:hanging="320"/>
        <w:spacing w:after="0"/>
        <w:tabs>
          <w:tab w:leader="none" w:pos="320"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execute for and on behalf of the undersigned, in the undersigned's capacity as an officer, director and/or more than 10% stockholder of Zo</w:t>
      </w:r>
    </w:p>
    <w:p>
      <w:pPr>
        <w:spacing w:after="0" w:line="314" w:lineRule="exact"/>
        <w:rPr>
          <w:rFonts w:ascii="Courier New" w:cs="Courier New" w:eastAsia="Courier New" w:hAnsi="Courier New"/>
          <w:sz w:val="12"/>
          <w:szCs w:val="12"/>
          <w:color w:val="auto"/>
        </w:rPr>
      </w:pPr>
    </w:p>
    <w:p>
      <w:pPr>
        <w:ind w:left="320" w:hanging="320"/>
        <w:spacing w:after="0"/>
        <w:tabs>
          <w:tab w:leader="none" w:pos="320" w:val="left"/>
        </w:tabs>
        <w:numPr>
          <w:ilvl w:val="0"/>
          <w:numId w:val="5"/>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which may be necessary or desirable to complete and execute any such</w:t>
      </w:r>
    </w:p>
    <w:p>
      <w:pPr>
        <w:spacing w:after="0" w:line="152" w:lineRule="exact"/>
        <w:rPr>
          <w:rFonts w:ascii="Courier New" w:cs="Courier New" w:eastAsia="Courier New" w:hAnsi="Courier New"/>
          <w:sz w:val="13"/>
          <w:szCs w:val="13"/>
          <w:color w:val="auto"/>
        </w:rPr>
      </w:pPr>
    </w:p>
    <w:p>
      <w:pPr>
        <w:jc w:val="both"/>
        <w:spacing w:after="0" w:line="548" w:lineRule="auto"/>
        <w:tabs>
          <w:tab w:leader="none" w:pos="312" w:val="left"/>
        </w:tabs>
        <w:numPr>
          <w:ilvl w:val="0"/>
          <w:numId w:val="5"/>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attorneyinfact, may be of bene The undersigned hereby grants to each such attorneyinfact full power and authority to do and perform any and every act and thing whatsoever re This Power of Attorney shall remain in full force and effect until the earliest to occur of (a) the undersigned is no longer required to file</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 WITNESS WHEREOF, the undersigned has caused this Power of Attorney to be executed as of this _ day of October, 2020.</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By: /s/ Janet Napolitano</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Name: Janet Napolitano</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2100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2020-11-04T19:05:47Z</dcterms:created>
  <dcterms:modified xsi:type="dcterms:W3CDTF">2020-11-04T19:05:47Z</dcterms:modified>
</cp:coreProperties>
</file>