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-611505</wp:posOffset>
            </wp:positionV>
            <wp:extent cx="57150" cy="624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840"/>
                    </a:xfrm>
                    <a:prstGeom prst="rect">
                      <a:avLst/>
                    </a:prstGeom>
                    <a:noFill/>
                  </pic:spPr>
                </pic:pic>
              </a:graphicData>
            </a:graphic>
          </wp:anchor>
        </w:drawing>
        <w:drawing>
          <wp:anchor simplePos="0" relativeHeight="251657728" behindDoc="1" locked="0" layoutInCell="0" allowOverlap="1">
            <wp:simplePos x="0" y="0"/>
            <wp:positionH relativeFrom="column">
              <wp:posOffset>3944620</wp:posOffset>
            </wp:positionH>
            <wp:positionV relativeFrom="paragraph">
              <wp:posOffset>-611505</wp:posOffset>
            </wp:positionV>
            <wp:extent cx="57150" cy="624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8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6269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626935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5" w:right="359" w:bottom="373"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Scheinman Daniel</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360"/>
        <w:spacing w:after="0" w:line="367"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4"/>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3820" w:type="dxa"/>
            <w:vAlign w:val="bottom"/>
            <w:gridSpan w:val="4"/>
          </w:tcPr>
          <w:p>
            <w:pPr>
              <w:ind w:left="60"/>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top w:val="single" w:sz="8" w:color="0000EE"/>
              <w:bottom w:val="single" w:sz="8" w:color="2C2C2C"/>
            </w:tcBorders>
          </w:tcPr>
          <w:p>
            <w:pPr>
              <w:spacing w:after="0"/>
              <w:rPr>
                <w:sz w:val="9"/>
                <w:szCs w:val="9"/>
                <w:color w:val="auto"/>
              </w:rPr>
            </w:pPr>
          </w:p>
        </w:tc>
        <w:tc>
          <w:tcPr>
            <w:tcW w:w="2740" w:type="dxa"/>
            <w:vAlign w:val="bottom"/>
            <w:tcBorders>
              <w:top w:val="single" w:sz="8" w:color="0000EE"/>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ind w:left="400"/>
              <w:spacing w:after="0" w:line="86" w:lineRule="exact"/>
              <w:rPr>
                <w:sz w:val="20"/>
                <w:szCs w:val="20"/>
                <w:color w:val="auto"/>
              </w:rPr>
            </w:pPr>
            <w:r>
              <w:rPr>
                <w:rFonts w:ascii="Arial" w:cs="Arial" w:eastAsia="Arial" w:hAnsi="Arial"/>
                <w:sz w:val="9"/>
                <w:szCs w:val="9"/>
                <w:color w:val="auto"/>
              </w:rPr>
              <w:t>Director</w:t>
            </w:r>
          </w:p>
        </w:tc>
        <w:tc>
          <w:tcPr>
            <w:tcW w:w="1460" w:type="dxa"/>
            <w:vAlign w:val="bottom"/>
          </w:tcPr>
          <w:p>
            <w:pPr>
              <w:ind w:left="340"/>
              <w:spacing w:after="0" w:line="86" w:lineRule="exact"/>
              <w:rPr>
                <w:sz w:val="20"/>
                <w:szCs w:val="20"/>
                <w:color w:val="auto"/>
              </w:rPr>
            </w:pPr>
            <w:r>
              <w:rPr>
                <w:rFonts w:ascii="Arial" w:cs="Arial" w:eastAsia="Arial" w:hAnsi="Arial"/>
                <w:sz w:val="9"/>
                <w:szCs w:val="9"/>
                <w:color w:val="auto"/>
              </w:rPr>
              <w:t>10% Owner</w:t>
            </w: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r>
      <w:tr>
        <w:trPr>
          <w:trHeight w:val="214"/>
        </w:trPr>
        <w:tc>
          <w:tcPr>
            <w:tcW w:w="29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06/12/2024</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60"/>
        <w:spacing w:after="0" w:line="28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5" w:right="359" w:bottom="373"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188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6"/>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gridSpan w:val="2"/>
          </w:tcPr>
          <w:p>
            <w:pPr>
              <w:ind w:left="28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gridSpan w:val="3"/>
            <w:vMerge w:val="restart"/>
          </w:tcPr>
          <w:p>
            <w:pPr>
              <w:ind w:left="960"/>
              <w:spacing w:after="0"/>
              <w:rPr>
                <w:sz w:val="20"/>
                <w:szCs w:val="20"/>
                <w:color w:val="auto"/>
              </w:rPr>
            </w:pPr>
            <w:r>
              <w:rPr>
                <w:rFonts w:ascii="Times New Roman" w:cs="Times New Roman" w:eastAsia="Times New Roman" w:hAnsi="Times New Roman"/>
                <w:sz w:val="16"/>
                <w:szCs w:val="16"/>
                <w:color w:val="0000FF"/>
              </w:rPr>
              <w:t>06/12/2024</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Pr>
          <w:p>
            <w:pPr>
              <w:spacing w:after="0"/>
              <w:rPr>
                <w:sz w:val="20"/>
                <w:szCs w:val="2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4,089</w:t>
            </w:r>
          </w:p>
        </w:tc>
        <w:tc>
          <w:tcPr>
            <w:tcW w:w="540" w:type="dxa"/>
            <w:vAlign w:val="bottom"/>
            <w:vMerge w:val="restart"/>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Pr>
          <w:p>
            <w:pPr>
              <w:spacing w:after="0"/>
              <w:rPr>
                <w:sz w:val="20"/>
                <w:szCs w:val="20"/>
                <w:color w:val="auto"/>
              </w:rPr>
            </w:pPr>
          </w:p>
        </w:tc>
        <w:tc>
          <w:tcPr>
            <w:tcW w:w="680" w:type="dxa"/>
            <w:vAlign w:val="bottom"/>
            <w:vMerge w:val="restart"/>
          </w:tcPr>
          <w:p>
            <w:pPr>
              <w:jc w:val="right"/>
              <w:ind w:right="10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0000FF"/>
              </w:rPr>
              <w:t>5,969</w:t>
            </w:r>
          </w:p>
        </w:tc>
        <w:tc>
          <w:tcPr>
            <w:tcW w:w="340" w:type="dxa"/>
            <w:vAlign w:val="bottom"/>
          </w:tcPr>
          <w:p>
            <w:pPr>
              <w:spacing w:after="0"/>
              <w:rPr>
                <w:sz w:val="20"/>
                <w:szCs w:val="2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5"/>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4"/>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80" w:type="dxa"/>
            <w:vAlign w:val="bottom"/>
            <w:gridSpan w:val="5"/>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ind w:right="205"/>
              <w:spacing w:after="0"/>
              <w:rPr>
                <w:sz w:val="20"/>
                <w:szCs w:val="20"/>
                <w:color w:val="auto"/>
              </w:rPr>
            </w:pPr>
            <w:r>
              <w:rPr>
                <w:rFonts w:ascii="Times New Roman" w:cs="Times New Roman" w:eastAsia="Times New Roman" w:hAnsi="Times New Roman"/>
                <w:sz w:val="10"/>
                <w:szCs w:val="10"/>
                <w:color w:val="008000"/>
              </w:rPr>
              <w:t>(3)</w:t>
            </w:r>
          </w:p>
        </w:tc>
        <w:tc>
          <w:tcPr>
            <w:tcW w:w="300" w:type="dxa"/>
            <w:vAlign w:val="bottom"/>
          </w:tcPr>
          <w:p>
            <w:pPr>
              <w:spacing w:after="0"/>
              <w:rPr>
                <w:sz w:val="15"/>
                <w:szCs w:val="15"/>
                <w:color w:val="auto"/>
              </w:rPr>
            </w:pPr>
          </w:p>
        </w:tc>
        <w:tc>
          <w:tcPr>
            <w:tcW w:w="500" w:type="dxa"/>
            <w:vAlign w:val="bottom"/>
            <w:vMerge w:val="restart"/>
          </w:tcPr>
          <w:p>
            <w:pPr>
              <w:jc w:val="center"/>
              <w:ind w:right="242"/>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15"/>
                <w:szCs w:val="15"/>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4,089</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06/12/2024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4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4,089</w:t>
            </w:r>
          </w:p>
        </w:tc>
        <w:tc>
          <w:tcPr>
            <w:tcW w:w="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tcPr>
          <w:p>
            <w:pPr>
              <w:jc w:val="center"/>
              <w:ind w:left="243"/>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2"/>
                <w:szCs w:val="12"/>
                <w:color w:val="auto"/>
              </w:rPr>
            </w:pPr>
          </w:p>
        </w:tc>
        <w:tc>
          <w:tcPr>
            <w:tcW w:w="600" w:type="dxa"/>
            <w:vAlign w:val="bottom"/>
          </w:tcPr>
          <w:p>
            <w:pPr>
              <w:jc w:val="center"/>
              <w:ind w:left="8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ind w:right="205"/>
              <w:spacing w:after="0"/>
              <w:rPr>
                <w:sz w:val="20"/>
                <w:szCs w:val="20"/>
                <w:color w:val="auto"/>
              </w:rPr>
            </w:pPr>
            <w:r>
              <w:rPr>
                <w:rFonts w:ascii="Times New Roman" w:cs="Times New Roman" w:eastAsia="Times New Roman" w:hAnsi="Times New Roman"/>
                <w:sz w:val="10"/>
                <w:szCs w:val="10"/>
                <w:color w:val="008000"/>
              </w:rPr>
              <w:t>(3)</w:t>
            </w:r>
          </w:p>
        </w:tc>
        <w:tc>
          <w:tcPr>
            <w:tcW w:w="300" w:type="dxa"/>
            <w:vAlign w:val="bottom"/>
          </w:tcPr>
          <w:p>
            <w:pPr>
              <w:spacing w:after="0"/>
              <w:rPr>
                <w:sz w:val="15"/>
                <w:szCs w:val="15"/>
                <w:color w:val="auto"/>
              </w:rPr>
            </w:pPr>
          </w:p>
        </w:tc>
        <w:tc>
          <w:tcPr>
            <w:tcW w:w="500" w:type="dxa"/>
            <w:vAlign w:val="bottom"/>
            <w:vMerge w:val="restart"/>
          </w:tcPr>
          <w:p>
            <w:pPr>
              <w:jc w:val="center"/>
              <w:ind w:right="242"/>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15"/>
                <w:szCs w:val="15"/>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w w:val="99"/>
              </w:rPr>
              <w:t>4,361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06/13/2024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4,361</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5"/>
              </w:rPr>
              <w:t>4,361</w:t>
            </w:r>
          </w:p>
        </w:tc>
        <w:tc>
          <w:tcPr>
            <w:tcW w:w="600" w:type="dxa"/>
            <w:vAlign w:val="bottom"/>
          </w:tcPr>
          <w:p>
            <w:pPr>
              <w:jc w:val="center"/>
              <w:ind w:left="8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4"/>
              </w:rPr>
              <w:t>Stock</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color w:val="0000FF"/>
                <w:w w:val="99"/>
              </w:rPr>
              <w:t>Class B</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color w:val="0000FF"/>
              </w:rPr>
              <w:t>100,000</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10.79</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ind w:right="205"/>
              <w:spacing w:after="0"/>
              <w:rPr>
                <w:sz w:val="20"/>
                <w:szCs w:val="20"/>
                <w:color w:val="auto"/>
              </w:rPr>
            </w:pPr>
            <w:r>
              <w:rPr>
                <w:rFonts w:ascii="Times New Roman" w:cs="Times New Roman" w:eastAsia="Times New Roman" w:hAnsi="Times New Roman"/>
                <w:sz w:val="10"/>
                <w:szCs w:val="10"/>
                <w:color w:val="008000"/>
              </w:rPr>
              <w:t>(4)</w:t>
            </w:r>
          </w:p>
        </w:tc>
        <w:tc>
          <w:tcPr>
            <w:tcW w:w="8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11/29/2028</w:t>
            </w:r>
          </w:p>
        </w:tc>
        <w:tc>
          <w:tcPr>
            <w:tcW w:w="60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jc w:val="center"/>
              <w:ind w:left="8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center"/>
              <w:ind w:right="77"/>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ind w:right="205"/>
              <w:spacing w:after="0"/>
              <w:rPr>
                <w:sz w:val="20"/>
                <w:szCs w:val="20"/>
                <w:color w:val="auto"/>
              </w:rPr>
            </w:pPr>
            <w:r>
              <w:rPr>
                <w:rFonts w:ascii="Times New Roman" w:cs="Times New Roman" w:eastAsia="Times New Roman" w:hAnsi="Times New Roman"/>
                <w:sz w:val="10"/>
                <w:szCs w:val="10"/>
                <w:color w:val="008000"/>
              </w:rPr>
              <w:t>(5)</w:t>
            </w:r>
          </w:p>
        </w:tc>
        <w:tc>
          <w:tcPr>
            <w:tcW w:w="300" w:type="dxa"/>
            <w:vAlign w:val="bottom"/>
          </w:tcPr>
          <w:p>
            <w:pPr>
              <w:spacing w:after="0"/>
              <w:rPr>
                <w:sz w:val="15"/>
                <w:szCs w:val="15"/>
                <w:color w:val="auto"/>
              </w:rPr>
            </w:pPr>
          </w:p>
        </w:tc>
        <w:tc>
          <w:tcPr>
            <w:tcW w:w="500" w:type="dxa"/>
            <w:vAlign w:val="bottom"/>
            <w:vMerge w:val="restart"/>
          </w:tcPr>
          <w:p>
            <w:pPr>
              <w:jc w:val="center"/>
              <w:ind w:right="242"/>
              <w:spacing w:after="0"/>
              <w:rPr>
                <w:sz w:val="20"/>
                <w:szCs w:val="20"/>
                <w:color w:val="auto"/>
              </w:rPr>
            </w:pPr>
            <w:r>
              <w:rPr>
                <w:rFonts w:ascii="Times New Roman" w:cs="Times New Roman" w:eastAsia="Times New Roman" w:hAnsi="Times New Roman"/>
                <w:sz w:val="10"/>
                <w:szCs w:val="10"/>
                <w:color w:val="008000"/>
              </w:rPr>
              <w:t>(5)</w:t>
            </w:r>
          </w:p>
        </w:tc>
        <w:tc>
          <w:tcPr>
            <w:tcW w:w="60" w:type="dxa"/>
            <w:vAlign w:val="bottom"/>
          </w:tcPr>
          <w:p>
            <w:pPr>
              <w:spacing w:after="0"/>
              <w:rPr>
                <w:sz w:val="15"/>
                <w:szCs w:val="15"/>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rPr>
              <w:t>1,126,281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00" w:type="dxa"/>
            <w:vAlign w:val="bottom"/>
            <w:gridSpan w:val="2"/>
            <w:vMerge w:val="restart"/>
          </w:tcPr>
          <w:p>
            <w:pPr>
              <w:ind w:left="2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1,126,281</w:t>
            </w:r>
          </w:p>
        </w:tc>
        <w:tc>
          <w:tcPr>
            <w:tcW w:w="600" w:type="dxa"/>
            <w:vAlign w:val="bottom"/>
            <w:vMerge w:val="restart"/>
          </w:tcPr>
          <w:p>
            <w:pPr>
              <w:jc w:val="center"/>
              <w:ind w:left="1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(6)</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Stock (2)</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vMerge w:val="restart"/>
          </w:tcPr>
          <w:p>
            <w:pPr>
              <w:jc w:val="right"/>
              <w:ind w:right="205"/>
              <w:spacing w:after="0"/>
              <w:rPr>
                <w:sz w:val="20"/>
                <w:szCs w:val="20"/>
                <w:color w:val="auto"/>
              </w:rPr>
            </w:pPr>
            <w:r>
              <w:rPr>
                <w:rFonts w:ascii="Times New Roman" w:cs="Times New Roman" w:eastAsia="Times New Roman" w:hAnsi="Times New Roman"/>
                <w:sz w:val="10"/>
                <w:szCs w:val="10"/>
                <w:color w:val="008000"/>
              </w:rPr>
              <w:t>(5)</w:t>
            </w:r>
          </w:p>
        </w:tc>
        <w:tc>
          <w:tcPr>
            <w:tcW w:w="300" w:type="dxa"/>
            <w:vAlign w:val="bottom"/>
          </w:tcPr>
          <w:p>
            <w:pPr>
              <w:spacing w:after="0"/>
              <w:rPr>
                <w:sz w:val="15"/>
                <w:szCs w:val="15"/>
                <w:color w:val="auto"/>
              </w:rPr>
            </w:pPr>
          </w:p>
        </w:tc>
        <w:tc>
          <w:tcPr>
            <w:tcW w:w="500" w:type="dxa"/>
            <w:vAlign w:val="bottom"/>
            <w:vMerge w:val="restart"/>
          </w:tcPr>
          <w:p>
            <w:pPr>
              <w:jc w:val="center"/>
              <w:ind w:right="242"/>
              <w:spacing w:after="0"/>
              <w:rPr>
                <w:sz w:val="20"/>
                <w:szCs w:val="20"/>
                <w:color w:val="auto"/>
              </w:rPr>
            </w:pPr>
            <w:r>
              <w:rPr>
                <w:rFonts w:ascii="Times New Roman" w:cs="Times New Roman" w:eastAsia="Times New Roman" w:hAnsi="Times New Roman"/>
                <w:sz w:val="10"/>
                <w:szCs w:val="10"/>
                <w:color w:val="008000"/>
              </w:rPr>
              <w:t>(5)</w:t>
            </w:r>
          </w:p>
        </w:tc>
        <w:tc>
          <w:tcPr>
            <w:tcW w:w="60" w:type="dxa"/>
            <w:vAlign w:val="bottom"/>
          </w:tcPr>
          <w:p>
            <w:pPr>
              <w:spacing w:after="0"/>
              <w:rPr>
                <w:sz w:val="15"/>
                <w:szCs w:val="15"/>
                <w:color w:val="auto"/>
              </w:rPr>
            </w:pPr>
          </w:p>
        </w:tc>
        <w:tc>
          <w:tcPr>
            <w:tcW w:w="54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60" w:type="dxa"/>
            <w:vAlign w:val="bottom"/>
          </w:tcPr>
          <w:p>
            <w:pPr>
              <w:spacing w:after="0"/>
              <w:rPr>
                <w:sz w:val="15"/>
                <w:szCs w:val="15"/>
                <w:color w:val="auto"/>
              </w:rPr>
            </w:pP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6"/>
                <w:szCs w:val="16"/>
                <w:color w:val="0000FF"/>
              </w:rPr>
              <w:t>437,974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00" w:type="dxa"/>
            <w:vAlign w:val="bottom"/>
            <w:gridSpan w:val="2"/>
            <w:vMerge w:val="restart"/>
          </w:tcPr>
          <w:p>
            <w:pPr>
              <w:ind w:left="2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437,974</w:t>
            </w:r>
          </w:p>
        </w:tc>
        <w:tc>
          <w:tcPr>
            <w:tcW w:w="600" w:type="dxa"/>
            <w:vAlign w:val="bottom"/>
            <w:vMerge w:val="restart"/>
          </w:tcPr>
          <w:p>
            <w:pPr>
              <w:jc w:val="center"/>
              <w:ind w:left="100"/>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Stock (2)</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-3194050</wp:posOffset>
            </wp:positionV>
            <wp:extent cx="28575" cy="3199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199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Dan &amp; Zoe Scheinman Trust Dated 2/23/01, for which the Reporting Person serves as trustee.</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40" w:right="24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22" w:lineRule="exact"/>
        <w:rPr>
          <w:rFonts w:ascii="Times New Roman" w:cs="Times New Roman" w:eastAsia="Times New Roman" w:hAnsi="Times New Roman"/>
          <w:sz w:val="13"/>
          <w:szCs w:val="13"/>
          <w:color w:val="008000"/>
        </w:rPr>
      </w:pPr>
    </w:p>
    <w:p>
      <w:pPr>
        <w:ind w:left="40" w:right="30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November 29, 2018. The shares subject to this option are early exercisable, subject to the Issuer's right to repurchase.</w:t>
      </w:r>
    </w:p>
    <w:p>
      <w:pPr>
        <w:spacing w:after="0" w:line="22" w:lineRule="exact"/>
        <w:rPr>
          <w:rFonts w:ascii="Times New Roman" w:cs="Times New Roman" w:eastAsia="Times New Roman" w:hAnsi="Times New Roman"/>
          <w:sz w:val="13"/>
          <w:szCs w:val="13"/>
          <w:color w:val="008000"/>
        </w:rPr>
      </w:pPr>
    </w:p>
    <w:p>
      <w:pPr>
        <w:ind w:left="40" w:right="32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40" w:right="360" w:hanging="2"/>
        <w:spacing w:after="0" w:line="245"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The 2017 Scheinman Irrevocable Trust ("2017 Scheinman Trust"). The trustee for 2017 Scheinman Trust is Neuberger Berman Trust Company of Delaware N.A. The Reporting Person's family members are beneficiaries under the 2017 Scheinman Trust.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06/14/2024</w:t>
            </w: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80" w:type="dxa"/>
            <w:vAlign w:val="bottom"/>
            <w:tcBorders>
              <w:bottom w:val="single" w:sz="8" w:color="auto"/>
            </w:tcBorders>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3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56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2024-06-14T17:40:34Z</dcterms:created>
  <dcterms:modified xsi:type="dcterms:W3CDTF">2024-06-14T17:40:34Z</dcterms:modified>
</cp:coreProperties>
</file>