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As filed with the U.S. Securities and Exchange Commission on April 23, 2019</w:t>
      </w:r>
    </w:p>
    <w:p>
      <w:pPr>
        <w:spacing w:after="0" w:line="27" w:lineRule="exact"/>
        <w:rPr>
          <w:sz w:val="24"/>
          <w:szCs w:val="24"/>
          <w:color w:val="auto"/>
        </w:rPr>
      </w:pPr>
    </w:p>
    <w:p>
      <w:pPr>
        <w:ind w:left="89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123190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ZOOM VIDEO COMMUNICATIONS,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229"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61-1648780</w:t>
      </w:r>
    </w:p>
    <w:p>
      <w:pPr>
        <w:spacing w:after="0" w:line="31" w:lineRule="exact"/>
        <w:rPr>
          <w:sz w:val="24"/>
          <w:szCs w:val="24"/>
          <w:color w:val="auto"/>
        </w:rPr>
      </w:pPr>
    </w:p>
    <w:p>
      <w:pPr>
        <w:sectPr>
          <w:pgSz w:w="11900" w:h="16838" w:orient="portrait"/>
          <w:cols w:equalWidth="0" w:num="2">
            <w:col w:w="7200" w:space="720"/>
            <w:col w:w="3100"/>
          </w:cols>
          <w:pgMar w:left="440" w:top="229" w:right="439" w:bottom="0" w:gutter="0" w:footer="0" w:header="0"/>
          <w:type w:val="continuous"/>
        </w:sectPr>
      </w:pPr>
    </w:p>
    <w:p>
      <w:pPr>
        <w:spacing w:after="0" w:line="12"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40"/>
          </w:cols>
          <w:pgMar w:left="440" w:top="229" w:right="439" w:bottom="0"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55 Almaden Blvd, 6</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(888) 799-9666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(Zip code)</w:t>
      </w:r>
    </w:p>
    <w:p>
      <w:pPr>
        <w:sectPr>
          <w:pgSz w:w="11900" w:h="16838" w:orient="portrait"/>
          <w:cols w:equalWidth="0" w:num="1">
            <w:col w:w="11020"/>
          </w:cols>
          <w:pgMar w:left="440" w:top="229" w:right="439" w:bottom="0" w:gutter="0" w:footer="0" w:header="0"/>
          <w:type w:val="continuous"/>
        </w:sectPr>
      </w:pPr>
    </w:p>
    <w:p>
      <w:pPr>
        <w:spacing w:after="0" w:line="215" w:lineRule="exact"/>
        <w:rPr>
          <w:sz w:val="24"/>
          <w:szCs w:val="24"/>
          <w:color w:val="auto"/>
        </w:rPr>
      </w:pPr>
    </w:p>
    <w:p>
      <w:pPr>
        <w:jc w:val="center"/>
        <w:spacing w:after="0" w:line="255" w:lineRule="auto"/>
        <w:rPr>
          <w:sz w:val="20"/>
          <w:szCs w:val="20"/>
          <w:color w:val="auto"/>
        </w:rPr>
      </w:pPr>
      <w:r>
        <w:rPr>
          <w:rFonts w:ascii="Arial" w:cs="Arial" w:eastAsia="Arial" w:hAnsi="Arial"/>
          <w:sz w:val="18"/>
          <w:szCs w:val="18"/>
          <w:b w:val="1"/>
          <w:bCs w:val="1"/>
          <w:color w:val="auto"/>
        </w:rPr>
        <w:t>Zoom Video Communications, Inc. Fourth Amended and Restated 2011 Global Share Plan Zoom Video Communications, Inc. 2019 Equity Incentive Plan Zoom Video Communications, Inc. 2019 Employee Stock Purchase Plan</w:t>
      </w:r>
    </w:p>
    <w:tbl>
      <w:tblPr>
        <w:tblLayout w:type="fixed"/>
        <w:tblInd w:w="2000" w:type="dxa"/>
        <w:tblCellMar>
          <w:top w:w="0" w:type="dxa"/>
          <w:left w:w="0" w:type="dxa"/>
          <w:bottom w:w="0" w:type="dxa"/>
          <w:right w:w="0" w:type="dxa"/>
        </w:tblCellMar>
      </w:tblPr>
      <w:tr>
        <w:trPr>
          <w:trHeight w:val="186"/>
        </w:trPr>
        <w:tc>
          <w:tcPr>
            <w:tcW w:w="1600" w:type="dxa"/>
            <w:vAlign w:val="bottom"/>
          </w:tcPr>
          <w:p>
            <w:pPr>
              <w:spacing w:after="0"/>
              <w:rPr>
                <w:sz w:val="16"/>
                <w:szCs w:val="16"/>
                <w:color w:val="auto"/>
              </w:rPr>
            </w:pPr>
          </w:p>
        </w:tc>
        <w:tc>
          <w:tcPr>
            <w:tcW w:w="5800" w:type="dxa"/>
            <w:vAlign w:val="bottom"/>
          </w:tcPr>
          <w:p>
            <w:pPr>
              <w:jc w:val="center"/>
              <w:ind w:right="1894"/>
              <w:spacing w:after="0"/>
              <w:rPr>
                <w:sz w:val="20"/>
                <w:szCs w:val="20"/>
                <w:color w:val="auto"/>
              </w:rPr>
            </w:pPr>
            <w:r>
              <w:rPr>
                <w:rFonts w:ascii="Arial" w:cs="Arial" w:eastAsia="Arial" w:hAnsi="Arial"/>
                <w:sz w:val="14"/>
                <w:szCs w:val="14"/>
                <w:b w:val="1"/>
                <w:bCs w:val="1"/>
                <w:color w:val="auto"/>
                <w:w w:val="92"/>
              </w:rPr>
              <w:t>(Full titles of the plans)</w:t>
            </w:r>
          </w:p>
        </w:tc>
      </w:tr>
      <w:tr>
        <w:trPr>
          <w:trHeight w:val="383"/>
        </w:trPr>
        <w:tc>
          <w:tcPr>
            <w:tcW w:w="1600" w:type="dxa"/>
            <w:vAlign w:val="bottom"/>
          </w:tcPr>
          <w:p>
            <w:pPr>
              <w:spacing w:after="0"/>
              <w:rPr>
                <w:sz w:val="24"/>
                <w:szCs w:val="24"/>
                <w:color w:val="auto"/>
              </w:rPr>
            </w:pPr>
          </w:p>
        </w:tc>
        <w:tc>
          <w:tcPr>
            <w:tcW w:w="5800" w:type="dxa"/>
            <w:vAlign w:val="bottom"/>
          </w:tcPr>
          <w:p>
            <w:pPr>
              <w:jc w:val="center"/>
              <w:ind w:right="1894"/>
              <w:spacing w:after="0"/>
              <w:rPr>
                <w:sz w:val="20"/>
                <w:szCs w:val="20"/>
                <w:color w:val="auto"/>
              </w:rPr>
            </w:pPr>
            <w:r>
              <w:rPr>
                <w:rFonts w:ascii="Arial" w:cs="Arial" w:eastAsia="Arial" w:hAnsi="Arial"/>
                <w:sz w:val="18"/>
                <w:szCs w:val="18"/>
                <w:b w:val="1"/>
                <w:bCs w:val="1"/>
                <w:color w:val="auto"/>
                <w:w w:val="93"/>
              </w:rPr>
              <w:t>Eric S. Yuan</w:t>
            </w:r>
          </w:p>
        </w:tc>
      </w:tr>
      <w:tr>
        <w:trPr>
          <w:trHeight w:val="216"/>
        </w:trPr>
        <w:tc>
          <w:tcPr>
            <w:tcW w:w="1600" w:type="dxa"/>
            <w:vAlign w:val="bottom"/>
          </w:tcPr>
          <w:p>
            <w:pPr>
              <w:spacing w:after="0"/>
              <w:rPr>
                <w:sz w:val="18"/>
                <w:szCs w:val="18"/>
                <w:color w:val="auto"/>
              </w:rPr>
            </w:pPr>
          </w:p>
        </w:tc>
        <w:tc>
          <w:tcPr>
            <w:tcW w:w="5800" w:type="dxa"/>
            <w:vAlign w:val="bottom"/>
          </w:tcPr>
          <w:p>
            <w:pPr>
              <w:jc w:val="center"/>
              <w:ind w:right="1874"/>
              <w:spacing w:after="0"/>
              <w:rPr>
                <w:sz w:val="20"/>
                <w:szCs w:val="20"/>
                <w:color w:val="auto"/>
              </w:rPr>
            </w:pPr>
            <w:r>
              <w:rPr>
                <w:rFonts w:ascii="Arial" w:cs="Arial" w:eastAsia="Arial" w:hAnsi="Arial"/>
                <w:sz w:val="18"/>
                <w:szCs w:val="18"/>
                <w:b w:val="1"/>
                <w:bCs w:val="1"/>
                <w:color w:val="auto"/>
                <w:w w:val="90"/>
              </w:rPr>
              <w:t>President and Chief Executive Officer</w:t>
            </w:r>
          </w:p>
        </w:tc>
      </w:tr>
      <w:tr>
        <w:trPr>
          <w:trHeight w:val="216"/>
        </w:trPr>
        <w:tc>
          <w:tcPr>
            <w:tcW w:w="1600" w:type="dxa"/>
            <w:vAlign w:val="bottom"/>
          </w:tcPr>
          <w:p>
            <w:pPr>
              <w:spacing w:after="0"/>
              <w:rPr>
                <w:sz w:val="18"/>
                <w:szCs w:val="18"/>
                <w:color w:val="auto"/>
              </w:rPr>
            </w:pPr>
          </w:p>
        </w:tc>
        <w:tc>
          <w:tcPr>
            <w:tcW w:w="5800" w:type="dxa"/>
            <w:vAlign w:val="bottom"/>
          </w:tcPr>
          <w:p>
            <w:pPr>
              <w:jc w:val="center"/>
              <w:ind w:right="1874"/>
              <w:spacing w:after="0"/>
              <w:rPr>
                <w:sz w:val="20"/>
                <w:szCs w:val="20"/>
                <w:color w:val="auto"/>
              </w:rPr>
            </w:pPr>
            <w:r>
              <w:rPr>
                <w:rFonts w:ascii="Arial" w:cs="Arial" w:eastAsia="Arial" w:hAnsi="Arial"/>
                <w:sz w:val="18"/>
                <w:szCs w:val="18"/>
                <w:b w:val="1"/>
                <w:bCs w:val="1"/>
                <w:color w:val="auto"/>
                <w:w w:val="90"/>
              </w:rPr>
              <w:t>Zoom Video Communications, Inc.</w:t>
            </w:r>
          </w:p>
        </w:tc>
      </w:tr>
      <w:tr>
        <w:trPr>
          <w:trHeight w:val="216"/>
        </w:trPr>
        <w:tc>
          <w:tcPr>
            <w:tcW w:w="1600" w:type="dxa"/>
            <w:vAlign w:val="bottom"/>
          </w:tcPr>
          <w:p>
            <w:pPr>
              <w:spacing w:after="0"/>
              <w:rPr>
                <w:sz w:val="18"/>
                <w:szCs w:val="18"/>
                <w:color w:val="auto"/>
              </w:rPr>
            </w:pPr>
          </w:p>
        </w:tc>
        <w:tc>
          <w:tcPr>
            <w:tcW w:w="5800" w:type="dxa"/>
            <w:vAlign w:val="bottom"/>
          </w:tcPr>
          <w:p>
            <w:pPr>
              <w:jc w:val="center"/>
              <w:ind w:right="1894"/>
              <w:spacing w:after="0"/>
              <w:rPr>
                <w:sz w:val="20"/>
                <w:szCs w:val="20"/>
                <w:color w:val="auto"/>
              </w:rPr>
            </w:pPr>
            <w:r>
              <w:rPr>
                <w:rFonts w:ascii="Arial" w:cs="Arial" w:eastAsia="Arial" w:hAnsi="Arial"/>
                <w:sz w:val="18"/>
                <w:szCs w:val="18"/>
                <w:b w:val="1"/>
                <w:bCs w:val="1"/>
                <w:color w:val="auto"/>
                <w:w w:val="91"/>
              </w:rPr>
              <w:t>55 Almaden Blvd, 6</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r>
      <w:tr>
        <w:trPr>
          <w:trHeight w:val="212"/>
        </w:trPr>
        <w:tc>
          <w:tcPr>
            <w:tcW w:w="1600" w:type="dxa"/>
            <w:vAlign w:val="bottom"/>
          </w:tcPr>
          <w:p>
            <w:pPr>
              <w:spacing w:after="0"/>
              <w:rPr>
                <w:sz w:val="18"/>
                <w:szCs w:val="18"/>
                <w:color w:val="auto"/>
              </w:rPr>
            </w:pPr>
          </w:p>
        </w:tc>
        <w:tc>
          <w:tcPr>
            <w:tcW w:w="5800" w:type="dxa"/>
            <w:vAlign w:val="bottom"/>
          </w:tcPr>
          <w:p>
            <w:pPr>
              <w:jc w:val="center"/>
              <w:ind w:right="1894"/>
              <w:spacing w:after="0"/>
              <w:rPr>
                <w:sz w:val="20"/>
                <w:szCs w:val="20"/>
                <w:color w:val="auto"/>
              </w:rPr>
            </w:pPr>
            <w:r>
              <w:rPr>
                <w:rFonts w:ascii="Arial" w:cs="Arial" w:eastAsia="Arial" w:hAnsi="Arial"/>
                <w:sz w:val="18"/>
                <w:szCs w:val="18"/>
                <w:b w:val="1"/>
                <w:bCs w:val="1"/>
                <w:color w:val="auto"/>
                <w:w w:val="88"/>
              </w:rPr>
              <w:t>San Jose, California 95113</w:t>
            </w:r>
          </w:p>
        </w:tc>
      </w:tr>
      <w:tr>
        <w:trPr>
          <w:trHeight w:val="186"/>
        </w:trPr>
        <w:tc>
          <w:tcPr>
            <w:tcW w:w="1600" w:type="dxa"/>
            <w:vAlign w:val="bottom"/>
          </w:tcPr>
          <w:p>
            <w:pPr>
              <w:spacing w:after="0"/>
              <w:rPr>
                <w:sz w:val="16"/>
                <w:szCs w:val="16"/>
                <w:color w:val="auto"/>
              </w:rPr>
            </w:pPr>
          </w:p>
        </w:tc>
        <w:tc>
          <w:tcPr>
            <w:tcW w:w="5800" w:type="dxa"/>
            <w:vAlign w:val="bottom"/>
          </w:tcPr>
          <w:p>
            <w:pPr>
              <w:jc w:val="center"/>
              <w:ind w:right="1874"/>
              <w:spacing w:after="0"/>
              <w:rPr>
                <w:sz w:val="20"/>
                <w:szCs w:val="20"/>
                <w:color w:val="auto"/>
              </w:rPr>
            </w:pPr>
            <w:r>
              <w:rPr>
                <w:rFonts w:ascii="Arial" w:cs="Arial" w:eastAsia="Arial" w:hAnsi="Arial"/>
                <w:sz w:val="14"/>
                <w:szCs w:val="14"/>
                <w:b w:val="1"/>
                <w:bCs w:val="1"/>
                <w:color w:val="auto"/>
                <w:w w:val="91"/>
              </w:rPr>
              <w:t>(Name and address of agent for service)</w:t>
            </w:r>
          </w:p>
        </w:tc>
      </w:tr>
      <w:tr>
        <w:trPr>
          <w:trHeight w:val="394"/>
        </w:trPr>
        <w:tc>
          <w:tcPr>
            <w:tcW w:w="1600" w:type="dxa"/>
            <w:vAlign w:val="bottom"/>
          </w:tcPr>
          <w:p>
            <w:pPr>
              <w:spacing w:after="0"/>
              <w:rPr>
                <w:sz w:val="24"/>
                <w:szCs w:val="24"/>
                <w:color w:val="auto"/>
              </w:rPr>
            </w:pPr>
          </w:p>
        </w:tc>
        <w:tc>
          <w:tcPr>
            <w:tcW w:w="5800" w:type="dxa"/>
            <w:vAlign w:val="bottom"/>
          </w:tcPr>
          <w:p>
            <w:pPr>
              <w:jc w:val="center"/>
              <w:ind w:right="1874"/>
              <w:spacing w:after="0"/>
              <w:rPr>
                <w:sz w:val="20"/>
                <w:szCs w:val="20"/>
                <w:color w:val="auto"/>
              </w:rPr>
            </w:pPr>
            <w:r>
              <w:rPr>
                <w:rFonts w:ascii="Arial" w:cs="Arial" w:eastAsia="Arial" w:hAnsi="Arial"/>
                <w:sz w:val="18"/>
                <w:szCs w:val="18"/>
                <w:b w:val="1"/>
                <w:bCs w:val="1"/>
                <w:color w:val="auto"/>
                <w:w w:val="90"/>
              </w:rPr>
              <w:t>(888) 799-9666</w:t>
            </w:r>
          </w:p>
        </w:tc>
      </w:tr>
      <w:tr>
        <w:trPr>
          <w:trHeight w:val="186"/>
        </w:trPr>
        <w:tc>
          <w:tcPr>
            <w:tcW w:w="1600" w:type="dxa"/>
            <w:vAlign w:val="bottom"/>
          </w:tcPr>
          <w:p>
            <w:pPr>
              <w:spacing w:after="0"/>
              <w:rPr>
                <w:sz w:val="16"/>
                <w:szCs w:val="16"/>
                <w:color w:val="auto"/>
              </w:rPr>
            </w:pPr>
          </w:p>
        </w:tc>
        <w:tc>
          <w:tcPr>
            <w:tcW w:w="5800" w:type="dxa"/>
            <w:vAlign w:val="bottom"/>
          </w:tcPr>
          <w:p>
            <w:pPr>
              <w:jc w:val="center"/>
              <w:ind w:right="1894"/>
              <w:spacing w:after="0"/>
              <w:rPr>
                <w:sz w:val="20"/>
                <w:szCs w:val="20"/>
                <w:color w:val="auto"/>
              </w:rPr>
            </w:pPr>
            <w:r>
              <w:rPr>
                <w:rFonts w:ascii="Arial" w:cs="Arial" w:eastAsia="Arial" w:hAnsi="Arial"/>
                <w:sz w:val="14"/>
                <w:szCs w:val="14"/>
                <w:b w:val="1"/>
                <w:bCs w:val="1"/>
                <w:color w:val="auto"/>
                <w:w w:val="91"/>
              </w:rPr>
              <w:t>(Telephone number, including area code, of agent for service)</w:t>
            </w:r>
          </w:p>
        </w:tc>
      </w:tr>
      <w:tr>
        <w:trPr>
          <w:trHeight w:val="417"/>
        </w:trPr>
        <w:tc>
          <w:tcPr>
            <w:tcW w:w="1600" w:type="dxa"/>
            <w:vAlign w:val="bottom"/>
          </w:tcPr>
          <w:p>
            <w:pPr>
              <w:spacing w:after="0"/>
              <w:rPr>
                <w:sz w:val="24"/>
                <w:szCs w:val="24"/>
                <w:color w:val="auto"/>
              </w:rPr>
            </w:pPr>
          </w:p>
        </w:tc>
        <w:tc>
          <w:tcPr>
            <w:tcW w:w="5800" w:type="dxa"/>
            <w:vAlign w:val="bottom"/>
          </w:tcPr>
          <w:p>
            <w:pPr>
              <w:jc w:val="center"/>
              <w:ind w:right="1894"/>
              <w:spacing w:after="0"/>
              <w:rPr>
                <w:sz w:val="20"/>
                <w:szCs w:val="20"/>
                <w:color w:val="auto"/>
              </w:rPr>
            </w:pPr>
            <w:r>
              <w:rPr>
                <w:rFonts w:ascii="Arial" w:cs="Arial" w:eastAsia="Arial" w:hAnsi="Arial"/>
                <w:sz w:val="18"/>
                <w:szCs w:val="18"/>
                <w:b w:val="1"/>
                <w:bCs w:val="1"/>
                <w:i w:val="1"/>
                <w:iCs w:val="1"/>
                <w:color w:val="auto"/>
                <w:w w:val="84"/>
              </w:rPr>
              <w:t>Copies to:</w:t>
            </w:r>
          </w:p>
        </w:tc>
      </w:tr>
      <w:tr>
        <w:trPr>
          <w:trHeight w:val="319"/>
        </w:trPr>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Jon C. Avina</w:t>
            </w:r>
          </w:p>
        </w:tc>
        <w:tc>
          <w:tcPr>
            <w:tcW w:w="5800" w:type="dxa"/>
            <w:vAlign w:val="bottom"/>
          </w:tcPr>
          <w:p>
            <w:pPr>
              <w:jc w:val="center"/>
              <w:ind w:left="3614"/>
              <w:spacing w:after="0"/>
              <w:rPr>
                <w:sz w:val="20"/>
                <w:szCs w:val="20"/>
                <w:color w:val="auto"/>
              </w:rPr>
            </w:pPr>
            <w:r>
              <w:rPr>
                <w:rFonts w:ascii="Arial" w:cs="Arial" w:eastAsia="Arial" w:hAnsi="Arial"/>
                <w:sz w:val="18"/>
                <w:szCs w:val="18"/>
                <w:b w:val="1"/>
                <w:bCs w:val="1"/>
                <w:color w:val="auto"/>
                <w:w w:val="92"/>
              </w:rPr>
              <w:t>Aparna Bawa</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Calise Y. Cheng</w:t>
            </w:r>
          </w:p>
        </w:tc>
        <w:tc>
          <w:tcPr>
            <w:tcW w:w="5800" w:type="dxa"/>
            <w:vAlign w:val="bottom"/>
          </w:tcPr>
          <w:p>
            <w:pPr>
              <w:jc w:val="center"/>
              <w:ind w:left="3614"/>
              <w:spacing w:after="0"/>
              <w:rPr>
                <w:sz w:val="20"/>
                <w:szCs w:val="20"/>
                <w:color w:val="auto"/>
              </w:rPr>
            </w:pPr>
            <w:r>
              <w:rPr>
                <w:rFonts w:ascii="Arial" w:cs="Arial" w:eastAsia="Arial" w:hAnsi="Arial"/>
                <w:sz w:val="18"/>
                <w:szCs w:val="18"/>
                <w:b w:val="1"/>
                <w:bCs w:val="1"/>
                <w:color w:val="auto"/>
                <w:w w:val="90"/>
              </w:rPr>
              <w:t>General Counsel</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6"/>
              </w:rPr>
              <w:t>Bradley M. Libuit</w:t>
            </w:r>
          </w:p>
        </w:tc>
        <w:tc>
          <w:tcPr>
            <w:tcW w:w="5800" w:type="dxa"/>
            <w:vAlign w:val="bottom"/>
          </w:tcPr>
          <w:p>
            <w:pPr>
              <w:jc w:val="center"/>
              <w:ind w:left="3614"/>
              <w:spacing w:after="0"/>
              <w:rPr>
                <w:sz w:val="20"/>
                <w:szCs w:val="20"/>
                <w:color w:val="auto"/>
              </w:rPr>
            </w:pPr>
            <w:r>
              <w:rPr>
                <w:rFonts w:ascii="Arial" w:cs="Arial" w:eastAsia="Arial" w:hAnsi="Arial"/>
                <w:sz w:val="18"/>
                <w:szCs w:val="18"/>
                <w:b w:val="1"/>
                <w:bCs w:val="1"/>
                <w:color w:val="auto"/>
                <w:w w:val="91"/>
              </w:rPr>
              <w:t>55 Almaden Blvd, 6</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Alex K. Kassai</w:t>
            </w:r>
          </w:p>
        </w:tc>
        <w:tc>
          <w:tcPr>
            <w:tcW w:w="5800" w:type="dxa"/>
            <w:vAlign w:val="bottom"/>
          </w:tcPr>
          <w:p>
            <w:pPr>
              <w:jc w:val="center"/>
              <w:ind w:left="3614"/>
              <w:spacing w:after="0"/>
              <w:rPr>
                <w:sz w:val="20"/>
                <w:szCs w:val="20"/>
                <w:color w:val="auto"/>
              </w:rPr>
            </w:pPr>
            <w:r>
              <w:rPr>
                <w:rFonts w:ascii="Arial" w:cs="Arial" w:eastAsia="Arial" w:hAnsi="Arial"/>
                <w:sz w:val="18"/>
                <w:szCs w:val="18"/>
                <w:b w:val="1"/>
                <w:bCs w:val="1"/>
                <w:color w:val="auto"/>
                <w:w w:val="88"/>
              </w:rPr>
              <w:t>San Jose, CA 95113</w:t>
            </w: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Cooley LLP</w:t>
            </w:r>
          </w:p>
        </w:tc>
        <w:tc>
          <w:tcPr>
            <w:tcW w:w="5800" w:type="dxa"/>
            <w:vAlign w:val="bottom"/>
          </w:tcPr>
          <w:p>
            <w:pPr>
              <w:jc w:val="center"/>
              <w:ind w:left="3614"/>
              <w:spacing w:after="0"/>
              <w:rPr>
                <w:sz w:val="20"/>
                <w:szCs w:val="20"/>
                <w:color w:val="auto"/>
              </w:rPr>
            </w:pPr>
            <w:r>
              <w:rPr>
                <w:rFonts w:ascii="Arial" w:cs="Arial" w:eastAsia="Arial" w:hAnsi="Arial"/>
                <w:sz w:val="18"/>
                <w:szCs w:val="18"/>
                <w:b w:val="1"/>
                <w:bCs w:val="1"/>
                <w:color w:val="auto"/>
                <w:w w:val="92"/>
              </w:rPr>
              <w:t>(888) 799-9666</w:t>
            </w:r>
          </w:p>
        </w:tc>
      </w:tr>
      <w:tr>
        <w:trPr>
          <w:trHeight w:val="234"/>
        </w:trPr>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3175 Hanover Street</w:t>
            </w:r>
          </w:p>
        </w:tc>
        <w:tc>
          <w:tcPr>
            <w:tcW w:w="5800" w:type="dxa"/>
            <w:vAlign w:val="bottom"/>
          </w:tcPr>
          <w:p>
            <w:pPr>
              <w:spacing w:after="0"/>
              <w:rPr>
                <w:sz w:val="20"/>
                <w:szCs w:val="20"/>
                <w:color w:val="auto"/>
              </w:rPr>
            </w:pPr>
          </w:p>
        </w:tc>
      </w:tr>
    </w:tbl>
    <w:p>
      <w:pPr>
        <w:jc w:val="center"/>
        <w:ind w:right="5440"/>
        <w:spacing w:after="0"/>
        <w:rPr>
          <w:sz w:val="20"/>
          <w:szCs w:val="20"/>
          <w:color w:val="auto"/>
        </w:rPr>
      </w:pPr>
      <w:r>
        <w:rPr>
          <w:rFonts w:ascii="Arial" w:cs="Arial" w:eastAsia="Arial" w:hAnsi="Arial"/>
          <w:sz w:val="18"/>
          <w:szCs w:val="18"/>
          <w:b w:val="1"/>
          <w:bCs w:val="1"/>
          <w:color w:val="auto"/>
        </w:rPr>
        <w:t>Palo Alto, California 94304</w:t>
      </w:r>
    </w:p>
    <w:p>
      <w:pPr>
        <w:spacing w:after="0" w:line="9" w:lineRule="exact"/>
        <w:rPr>
          <w:sz w:val="24"/>
          <w:szCs w:val="24"/>
          <w:color w:val="auto"/>
        </w:rPr>
      </w:pPr>
    </w:p>
    <w:p>
      <w:pPr>
        <w:jc w:val="center"/>
        <w:ind w:right="5440"/>
        <w:spacing w:after="0"/>
        <w:rPr>
          <w:sz w:val="20"/>
          <w:szCs w:val="20"/>
          <w:color w:val="auto"/>
        </w:rPr>
      </w:pPr>
      <w:r>
        <w:rPr>
          <w:rFonts w:ascii="Arial" w:cs="Arial" w:eastAsia="Arial" w:hAnsi="Arial"/>
          <w:sz w:val="18"/>
          <w:szCs w:val="18"/>
          <w:b w:val="1"/>
          <w:bCs w:val="1"/>
          <w:color w:val="auto"/>
        </w:rPr>
        <w:t>(650) 843-5000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237490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526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5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526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700" w:type="dxa"/>
            <w:vAlign w:val="bottom"/>
          </w:tcPr>
          <w:p>
            <w:pPr>
              <w:ind w:left="156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700" w:type="dxa"/>
            <w:vAlign w:val="bottom"/>
          </w:tcPr>
          <w:p>
            <w:pPr>
              <w:ind w:left="156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102870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229" w:right="4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880" w:type="dxa"/>
            <w:vAlign w:val="bottom"/>
            <w:tcBorders>
              <w:top w:val="single" w:sz="8" w:color="auto"/>
              <w:right w:val="single" w:sz="8" w:color="auto"/>
            </w:tcBorders>
          </w:tcPr>
          <w:p>
            <w:pPr>
              <w:spacing w:after="0"/>
              <w:rPr>
                <w:sz w:val="12"/>
                <w:szCs w:val="12"/>
                <w:color w:val="auto"/>
              </w:rPr>
            </w:pPr>
          </w:p>
        </w:tc>
        <w:tc>
          <w:tcPr>
            <w:tcW w:w="15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9"/>
              </w:rPr>
              <w:t>Proposed</w:t>
            </w:r>
          </w:p>
        </w:tc>
        <w:tc>
          <w:tcPr>
            <w:tcW w:w="15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9"/>
              </w:rPr>
              <w:t>Proposed</w:t>
            </w:r>
          </w:p>
        </w:tc>
        <w:tc>
          <w:tcPr>
            <w:tcW w:w="1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880" w:type="dxa"/>
            <w:vAlign w:val="bottom"/>
            <w:tcBorders>
              <w:right w:val="single" w:sz="8" w:color="auto"/>
            </w:tcBorders>
          </w:tcPr>
          <w:p>
            <w:pPr>
              <w:ind w:left="1860"/>
              <w:spacing w:after="0" w:line="158" w:lineRule="exact"/>
              <w:rPr>
                <w:sz w:val="20"/>
                <w:szCs w:val="20"/>
                <w:color w:val="auto"/>
              </w:rPr>
            </w:pPr>
            <w:r>
              <w:rPr>
                <w:rFonts w:ascii="Arial" w:cs="Arial" w:eastAsia="Arial" w:hAnsi="Arial"/>
                <w:sz w:val="14"/>
                <w:szCs w:val="14"/>
                <w:b w:val="1"/>
                <w:bCs w:val="1"/>
                <w:color w:val="auto"/>
              </w:rPr>
              <w:t>Title of Securities</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7"/>
              </w:rPr>
              <w:t>Offering Price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80" w:type="dxa"/>
            <w:vAlign w:val="bottom"/>
            <w:tcBorders>
              <w:bottom w:val="single" w:sz="8" w:color="auto"/>
              <w:right w:val="single" w:sz="8" w:color="auto"/>
            </w:tcBorders>
          </w:tcPr>
          <w:p>
            <w:pPr>
              <w:ind w:left="1920"/>
              <w:spacing w:after="0"/>
              <w:rPr>
                <w:sz w:val="20"/>
                <w:szCs w:val="20"/>
                <w:color w:val="auto"/>
              </w:rPr>
            </w:pPr>
            <w:r>
              <w:rPr>
                <w:rFonts w:ascii="Arial" w:cs="Arial" w:eastAsia="Arial" w:hAnsi="Arial"/>
                <w:sz w:val="14"/>
                <w:szCs w:val="14"/>
                <w:b w:val="1"/>
                <w:bCs w:val="1"/>
                <w:color w:val="auto"/>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Class A Common Stock, par value $0.001 per share</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 2019 Equity Incentive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58,300,889(2)(3)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$36.00(8)</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$2,098,832,004</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$254,379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 2019 Employee Stock Purchase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9,000,000(4)(5)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$30.60(9)</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$275,400,000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$33,379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w w:val="98"/>
              </w:rPr>
              <w:t>– Fourth Amended and Restated 2011 Global Share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22,992,078(6)</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$—(10)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Class B Common Stock, par value $0.001 per share</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w w:val="98"/>
              </w:rPr>
              <w:t>– Fourth Amended and Restated 2011 Global Share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22,992,078(7)</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$3.48(11)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$80,012,432</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$9,698</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113,285,045</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$2,454,244,436</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$297,456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right="80" w:hanging="436"/>
        <w:spacing w:after="0" w:line="254"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promulgated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this Registration Statement shall also cover any additional shares of Registrant’s Class A or Class B common stock that become issuable under the plans set forth herein by reason of any stock dividend, stock split, recapitalization, or other similar transaction effected that results in an increase to the number of outstanding shares of Registrant’s Class A or Class B common stock, as applicable.</w:t>
      </w:r>
    </w:p>
    <w:p>
      <w:pPr>
        <w:spacing w:after="0" w:line="1" w:lineRule="exact"/>
        <w:rPr>
          <w:rFonts w:ascii="Arial" w:cs="Arial" w:eastAsia="Arial" w:hAnsi="Arial"/>
          <w:sz w:val="18"/>
          <w:szCs w:val="18"/>
          <w:color w:val="auto"/>
        </w:rPr>
      </w:pPr>
    </w:p>
    <w:p>
      <w:pPr>
        <w:ind w:left="440" w:right="14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the sum of (i) 34,000,000 shares reserved for future issuance pursuant to stock awards under the Registrant’s 2019 Equity Incentive Plan (the “</w:t>
      </w:r>
      <w:r>
        <w:rPr>
          <w:rFonts w:ascii="Arial" w:cs="Arial" w:eastAsia="Arial" w:hAnsi="Arial"/>
          <w:sz w:val="18"/>
          <w:szCs w:val="18"/>
          <w:b w:val="1"/>
          <w:bCs w:val="1"/>
          <w:i w:val="1"/>
          <w:iCs w:val="1"/>
          <w:color w:val="auto"/>
        </w:rPr>
        <w:t>2019 Plan</w:t>
      </w:r>
      <w:r>
        <w:rPr>
          <w:rFonts w:ascii="Arial" w:cs="Arial" w:eastAsia="Arial" w:hAnsi="Arial"/>
          <w:sz w:val="18"/>
          <w:szCs w:val="18"/>
          <w:color w:val="auto"/>
        </w:rPr>
        <w:t>”), plus (ii) shares reserved and available for the grant of new stock awards under the Registrant’s Fourth Amended and Restated 2011 Global Share Plan (the “</w:t>
      </w:r>
      <w:r>
        <w:rPr>
          <w:rFonts w:ascii="Arial" w:cs="Arial" w:eastAsia="Arial" w:hAnsi="Arial"/>
          <w:sz w:val="18"/>
          <w:szCs w:val="18"/>
          <w:b w:val="1"/>
          <w:bCs w:val="1"/>
          <w:i w:val="1"/>
          <w:iCs w:val="1"/>
          <w:color w:val="auto"/>
        </w:rPr>
        <w:t>2011 Plan</w:t>
      </w:r>
      <w:r>
        <w:rPr>
          <w:rFonts w:ascii="Arial" w:cs="Arial" w:eastAsia="Arial" w:hAnsi="Arial"/>
          <w:sz w:val="18"/>
          <w:szCs w:val="18"/>
          <w:color w:val="auto"/>
        </w:rPr>
        <w:t>”) as of immediately prior to the time the 2019 Plan became effective, which such shares shall become available as shares of Class A common stock for future issuance pursuant to the terms of the 2019 Plan, plus (iii) shares subject to outstanding awards originally granted under the 2011 Plan that following the time the 2019 Plan became effective: (a) expire or terminate for any reason prior to exercise or settlement; (b) are not issued because all or a portion of such stock award is settled in cash, (c) are forfeited back to or repurchased by the Registrant because of the failure to meet a contingency or condition required to vest such shares; or (d) are reacquired, withheld (or not issued) to satisfy a tax withholding obligation in connection with an award or to satisfy the purchase price or exercise price of a stock award, which such shares shall become available as shares of Class A common stock for future issuance pursuant to the terms of the 2019 Plan.</w:t>
      </w:r>
    </w:p>
    <w:p>
      <w:pPr>
        <w:spacing w:after="0" w:line="4" w:lineRule="exact"/>
        <w:rPr>
          <w:rFonts w:ascii="Arial" w:cs="Arial" w:eastAsia="Arial" w:hAnsi="Arial"/>
          <w:sz w:val="18"/>
          <w:szCs w:val="18"/>
          <w:color w:val="auto"/>
        </w:rPr>
      </w:pPr>
    </w:p>
    <w:p>
      <w:pPr>
        <w:ind w:left="440" w:right="8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number of shares reserved for issuance under the 2019 Plan will automatically increase on February 1st each year, starting on February 1, 2020 and continuing through February 1, 2029, by the lesser of (a) five percent (5%) of the total number of shares of the Registrant’s capital stock outstanding on January 31st of the preceding fiscal year and (b) a number determined by the Registrant’s board of directors or compensation committee.</w:t>
      </w:r>
    </w:p>
    <w:p>
      <w:pPr>
        <w:spacing w:after="0" w:line="1" w:lineRule="exact"/>
        <w:rPr>
          <w:rFonts w:ascii="Arial" w:cs="Arial" w:eastAsia="Arial" w:hAnsi="Arial"/>
          <w:sz w:val="18"/>
          <w:szCs w:val="18"/>
          <w:color w:val="auto"/>
        </w:rPr>
      </w:pPr>
    </w:p>
    <w:p>
      <w:pPr>
        <w:ind w:left="440" w:right="26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Class A common stock reserved for future issuance under the Registrant’s 2019 Employee Stock Purchase Plan (the “</w:t>
      </w:r>
      <w:r>
        <w:rPr>
          <w:rFonts w:ascii="Arial" w:cs="Arial" w:eastAsia="Arial" w:hAnsi="Arial"/>
          <w:sz w:val="18"/>
          <w:szCs w:val="18"/>
          <w:b w:val="1"/>
          <w:bCs w:val="1"/>
          <w:i w:val="1"/>
          <w:iCs w:val="1"/>
          <w:color w:val="auto"/>
        </w:rPr>
        <w:t>2019</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ESPP</w:t>
      </w:r>
      <w:r>
        <w:rPr>
          <w:rFonts w:ascii="Arial" w:cs="Arial" w:eastAsia="Arial" w:hAnsi="Arial"/>
          <w:sz w:val="18"/>
          <w:szCs w:val="18"/>
          <w:color w:val="auto"/>
        </w:rPr>
        <w:t>”).</w:t>
      </w:r>
    </w:p>
    <w:p>
      <w:pPr>
        <w:ind w:left="440" w:right="10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number of shares reserved for issuance under the 2019 ESPP will automatically increase on February 1st each year, starting on February 1, 2020 and continuing through February 1, 2029, by the lesser of (a) one percent (1%) of the total number of shares of the Registrant’s capital stock outstanding on January 31st of the preceding fiscal year, (b) 7,500,000 shares of Class A common stock or (c) a number determined by the Registrant’s board of directors or compensation committee.</w:t>
      </w:r>
    </w:p>
    <w:p>
      <w:pPr>
        <w:spacing w:after="0" w:line="1" w:lineRule="exact"/>
        <w:rPr>
          <w:rFonts w:ascii="Arial" w:cs="Arial" w:eastAsia="Arial" w:hAnsi="Arial"/>
          <w:sz w:val="18"/>
          <w:szCs w:val="18"/>
          <w:color w:val="auto"/>
        </w:rPr>
      </w:pPr>
    </w:p>
    <w:p>
      <w:pPr>
        <w:ind w:left="440" w:right="26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Class A common stock issuable upon conversion of Class B common stock underlying options outstanding under the 2011 Plan as of the date of this Registration Statement.</w:t>
      </w:r>
    </w:p>
    <w:p>
      <w:pPr>
        <w:ind w:left="440" w:right="14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Class B common stock reserved for issuance pursuant to stock options outstanding under the 2011 Plan as of the date of this Registration Statement.</w:t>
      </w:r>
    </w:p>
    <w:p>
      <w:pPr>
        <w:jc w:val="both"/>
        <w:ind w:left="440" w:right="16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solely for the purpose of calculating the registration fee on the basis of the initial public offering price of $36.00 per share of Class A common stock as set forth in the Registrant’s Registration Statement on Form S-1 (File No. 333-230444) declared effective on April 17, 2019.</w:t>
      </w:r>
    </w:p>
    <w:p>
      <w:pPr>
        <w:spacing w:after="0" w:line="1" w:lineRule="exact"/>
        <w:rPr>
          <w:rFonts w:ascii="Arial" w:cs="Arial" w:eastAsia="Arial" w:hAnsi="Arial"/>
          <w:sz w:val="18"/>
          <w:szCs w:val="18"/>
          <w:color w:val="auto"/>
        </w:rPr>
      </w:pPr>
    </w:p>
    <w:p>
      <w:pPr>
        <w:jc w:val="both"/>
        <w:ind w:left="440" w:right="160" w:hanging="436"/>
        <w:spacing w:after="0" w:line="281"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in accordance with Rule 457(h) solely for the purpose of calculating the registration fee on the basis of the initial public offering price of $36.00 per share of Class A common stock as set forth in the Registrant’s Registration Statement on Form S-1 (File No. 333-230444) declared effective on April 17, 2019 multiplied by 85%, which is the percentage of the price per share applicable to purchases under the 2019 ESPP.</w:t>
      </w:r>
    </w:p>
    <w:p>
      <w:pPr>
        <w:spacing w:after="0" w:line="2" w:lineRule="exact"/>
        <w:rPr>
          <w:rFonts w:ascii="Arial" w:cs="Arial" w:eastAsia="Arial" w:hAnsi="Arial"/>
          <w:sz w:val="16"/>
          <w:szCs w:val="16"/>
          <w:color w:val="auto"/>
        </w:rPr>
      </w:pPr>
    </w:p>
    <w:p>
      <w:pPr>
        <w:ind w:left="440" w:right="12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457(i), there is no fee associated with the registration of shares of Class A common stock issuable upon conversion of shares of any Class B common stock (a convertible security) being registered under this Registration Statement because no additional consideration will be received in connection with the conversion of shares of Class B common stock.</w:t>
      </w:r>
    </w:p>
    <w:p>
      <w:pPr>
        <w:spacing w:after="0" w:line="1" w:lineRule="exact"/>
        <w:rPr>
          <w:rFonts w:ascii="Arial" w:cs="Arial" w:eastAsia="Arial" w:hAnsi="Arial"/>
          <w:sz w:val="18"/>
          <w:szCs w:val="18"/>
          <w:color w:val="auto"/>
        </w:rPr>
      </w:pPr>
    </w:p>
    <w:p>
      <w:pPr>
        <w:ind w:left="440" w:right="220" w:hanging="436"/>
        <w:spacing w:after="0" w:line="261"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solely for the purpose of calculating the registration fee on the basis of the weighted-average exercise price for outstanding options granted pursuant to the 2011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177165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120" w:right="4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INCORPORATION OF CERTAIN DOCUMENTS BY REFERENCE</w:t>
      </w:r>
    </w:p>
    <w:p>
      <w:pPr>
        <w:spacing w:after="0" w:line="121"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The following documents filed by Zoom Video Communications, Inc. (the “</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 with the Securities and Exchange Commission are incorporated by reference into this Registration Statement:</w:t>
      </w:r>
    </w:p>
    <w:p>
      <w:pPr>
        <w:spacing w:after="0" w:line="62" w:lineRule="exact"/>
        <w:rPr>
          <w:sz w:val="20"/>
          <w:szCs w:val="20"/>
          <w:color w:val="auto"/>
        </w:rPr>
      </w:pPr>
    </w:p>
    <w:p>
      <w:pPr>
        <w:jc w:val="both"/>
        <w:ind w:right="200" w:firstLine="444"/>
        <w:spacing w:after="0" w:line="264" w:lineRule="auto"/>
        <w:tabs>
          <w:tab w:leader="none" w:pos="827"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Registrant’s prospectus filed on April 18, 2019 pursuant to Rule 424(b) under the Securities Act relating to the Registration Statement on Form S-1 (File No. 333-230444), which contains audited financial statements for the Registrant’s latest fiscal year for which such statements have been filed.</w:t>
      </w:r>
    </w:p>
    <w:p>
      <w:pPr>
        <w:spacing w:after="0" w:line="73" w:lineRule="exact"/>
        <w:rPr>
          <w:rFonts w:ascii="Arial" w:cs="Arial" w:eastAsia="Arial" w:hAnsi="Arial"/>
          <w:sz w:val="18"/>
          <w:szCs w:val="18"/>
          <w:b w:val="1"/>
          <w:bCs w:val="1"/>
          <w:color w:val="auto"/>
        </w:rPr>
      </w:pPr>
    </w:p>
    <w:p>
      <w:pPr>
        <w:ind w:firstLine="444"/>
        <w:spacing w:after="0" w:line="264" w:lineRule="auto"/>
        <w:tabs>
          <w:tab w:leader="none" w:pos="837"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description of the Registrant’s Class A Common Stock which is contained in a registration statement on Form 8-A filed on April 8, 2019 (File No. 001-38865) under the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including any amendment or report filed for the purpose of updating such description.</w:t>
      </w:r>
    </w:p>
    <w:p>
      <w:pPr>
        <w:spacing w:after="0" w:line="73" w:lineRule="exact"/>
        <w:rPr>
          <w:rFonts w:ascii="Arial" w:cs="Arial" w:eastAsia="Arial" w:hAnsi="Arial"/>
          <w:sz w:val="18"/>
          <w:szCs w:val="18"/>
          <w:b w:val="1"/>
          <w:bCs w:val="1"/>
          <w:color w:val="auto"/>
        </w:rPr>
      </w:pPr>
    </w:p>
    <w:p>
      <w:pPr>
        <w:ind w:firstLine="444"/>
        <w:spacing w:after="0" w:line="270" w:lineRule="auto"/>
        <w:tabs>
          <w:tab w:leader="none" w:pos="81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DESCRIPTION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INTERESTS OF NAMED EXPERTS AND COUNSEL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The Registrant’s amended and restated certificate of incorporation that will be in effect immediately prior to the completion of the initial public offering permits indemnification of our directors, officers, employees and other agents to the maximum extent permitted by the Delaware General Corporation Law, and the Registrant’s amended and restated bylaws provide that the Registrant will indemnify its directors and executive officers and permit the Registrant to indemnify its other officers, employees and other agents, in each case to the maximum extent permitted by the Delaware General Corporation Law.</w:t>
      </w:r>
    </w:p>
    <w:p>
      <w:pPr>
        <w:spacing w:after="0" w:line="178"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Registrant has entered into indemnification agreements with its directors and officers, whereby it has agreed to indemnify its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the Registrant, provided that such director or officer acted in good faith and in a manner that the director or officer reasonably believed to be in, or not opposed to, the best interest of the Registrant. At present, there is no pending litigation or proceeding involving a director or officer of the Registrant regarding which indemnification is sought, nor is the registrant aware of any threatened litigation that may result in claims for indemnification.</w:t>
      </w:r>
    </w:p>
    <w:p>
      <w:pPr>
        <w:spacing w:after="0" w:line="189"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The Registrant maintains insurance policies that indemnify its directors and officers against various liabilities arising under the Securities Act and the Securities Exchange Act of 1934, as amended, that might be incurred by any director or officer in his or her capacity as such.</w:t>
      </w:r>
    </w:p>
    <w:p>
      <w:pPr>
        <w:sectPr>
          <w:pgSz w:w="11900" w:h="16838" w:orient="portrait"/>
          <w:cols w:equalWidth="0" w:num="1">
            <w:col w:w="11000"/>
          </w:cols>
          <w:pgMar w:left="440" w:top="270"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20" w:type="dxa"/>
            <w:vAlign w:val="bottom"/>
            <w:gridSpan w:val="3"/>
          </w:tcPr>
          <w:p>
            <w:pPr>
              <w:spacing w:after="0"/>
              <w:rPr>
                <w:sz w:val="20"/>
                <w:szCs w:val="20"/>
                <w:color w:val="auto"/>
              </w:rPr>
            </w:pPr>
            <w:r>
              <w:rPr>
                <w:rFonts w:ascii="Arial" w:cs="Arial" w:eastAsia="Arial" w:hAnsi="Arial"/>
                <w:sz w:val="18"/>
                <w:szCs w:val="18"/>
                <w:b w:val="1"/>
                <w:bCs w:val="1"/>
                <w:color w:val="auto"/>
              </w:rPr>
              <w:t>ITEM 7.</w:t>
            </w:r>
          </w:p>
        </w:tc>
        <w:tc>
          <w:tcPr>
            <w:tcW w:w="6240" w:type="dxa"/>
            <w:vAlign w:val="bottom"/>
            <w:gridSpan w:val="11"/>
          </w:tcPr>
          <w:p>
            <w:pPr>
              <w:ind w:left="260"/>
              <w:spacing w:after="0"/>
              <w:rPr>
                <w:sz w:val="20"/>
                <w:szCs w:val="20"/>
                <w:color w:val="auto"/>
              </w:rPr>
            </w:pPr>
            <w:r>
              <w:rPr>
                <w:rFonts w:ascii="Arial" w:cs="Arial" w:eastAsia="Arial" w:hAnsi="Arial"/>
                <w:sz w:val="18"/>
                <w:szCs w:val="18"/>
                <w:b w:val="1"/>
                <w:bCs w:val="1"/>
                <w:color w:val="auto"/>
              </w:rPr>
              <w:t>EXEMPTION FROM REGISTRATION CLAIMED.</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940" w:type="dxa"/>
            <w:vAlign w:val="bottom"/>
            <w:gridSpan w:val="13"/>
          </w:tcPr>
          <w:p>
            <w:pPr>
              <w:ind w:left="420"/>
              <w:spacing w:after="0"/>
              <w:rPr>
                <w:sz w:val="20"/>
                <w:szCs w:val="20"/>
                <w:color w:val="auto"/>
              </w:rPr>
            </w:pPr>
            <w:r>
              <w:rPr>
                <w:rFonts w:ascii="Arial" w:cs="Arial" w:eastAsia="Arial" w:hAnsi="Arial"/>
                <w:sz w:val="18"/>
                <w:szCs w:val="18"/>
                <w:color w:val="auto"/>
              </w:rPr>
              <w:t>Not applicable.</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720" w:type="dxa"/>
            <w:vAlign w:val="bottom"/>
            <w:gridSpan w:val="3"/>
          </w:tcPr>
          <w:p>
            <w:pPr>
              <w:spacing w:after="0"/>
              <w:rPr>
                <w:sz w:val="20"/>
                <w:szCs w:val="20"/>
                <w:color w:val="auto"/>
              </w:rPr>
            </w:pPr>
            <w:r>
              <w:rPr>
                <w:rFonts w:ascii="Arial" w:cs="Arial" w:eastAsia="Arial" w:hAnsi="Arial"/>
                <w:sz w:val="18"/>
                <w:szCs w:val="18"/>
                <w:b w:val="1"/>
                <w:bCs w:val="1"/>
                <w:color w:val="auto"/>
              </w:rPr>
              <w:t>ITEM 8.</w:t>
            </w:r>
          </w:p>
        </w:tc>
        <w:tc>
          <w:tcPr>
            <w:tcW w:w="6240" w:type="dxa"/>
            <w:vAlign w:val="bottom"/>
            <w:gridSpan w:val="11"/>
          </w:tcPr>
          <w:p>
            <w:pPr>
              <w:ind w:left="260"/>
              <w:spacing w:after="0"/>
              <w:rPr>
                <w:sz w:val="20"/>
                <w:szCs w:val="20"/>
                <w:color w:val="auto"/>
              </w:rPr>
            </w:pPr>
            <w:r>
              <w:rPr>
                <w:rFonts w:ascii="Arial" w:cs="Arial" w:eastAsia="Arial" w:hAnsi="Arial"/>
                <w:sz w:val="18"/>
                <w:szCs w:val="18"/>
                <w:b w:val="1"/>
                <w:bCs w:val="1"/>
                <w:color w:val="auto"/>
              </w:rPr>
              <w:t>EXHIBITS</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Exhibit</w:t>
            </w: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6"/>
          </w:tcPr>
          <w:p>
            <w:pPr>
              <w:ind w:left="380"/>
              <w:spacing w:after="0"/>
              <w:rPr>
                <w:sz w:val="20"/>
                <w:szCs w:val="20"/>
                <w:color w:val="auto"/>
              </w:rPr>
            </w:pPr>
            <w:r>
              <w:rPr>
                <w:rFonts w:ascii="Arial" w:cs="Arial" w:eastAsia="Arial" w:hAnsi="Arial"/>
                <w:sz w:val="14"/>
                <w:szCs w:val="14"/>
                <w:b w:val="1"/>
                <w:bCs w:val="1"/>
                <w:color w:val="auto"/>
              </w:rPr>
              <w:t>Incorporated by Reference</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72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3"/>
              </w:rPr>
              <w:t>Schedule</w:t>
            </w:r>
          </w:p>
        </w:tc>
        <w:tc>
          <w:tcPr>
            <w:tcW w:w="9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500" w:type="dxa"/>
            <w:vAlign w:val="bottom"/>
            <w:gridSpan w:val="9"/>
          </w:tcPr>
          <w:p>
            <w:pPr>
              <w:ind w:left="102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220" w:type="dxa"/>
            <w:vAlign w:val="bottom"/>
          </w:tcPr>
          <w:p>
            <w:pPr>
              <w:spacing w:after="0"/>
              <w:rPr>
                <w:sz w:val="15"/>
                <w:szCs w:val="15"/>
                <w:color w:val="auto"/>
              </w:rPr>
            </w:pPr>
          </w:p>
        </w:tc>
        <w:tc>
          <w:tcPr>
            <w:tcW w:w="920" w:type="dxa"/>
            <w:vAlign w:val="bottom"/>
          </w:tcPr>
          <w:p>
            <w:pPr>
              <w:ind w:left="60"/>
              <w:spacing w:after="0"/>
              <w:rPr>
                <w:sz w:val="20"/>
                <w:szCs w:val="20"/>
                <w:color w:val="auto"/>
              </w:rPr>
            </w:pPr>
            <w:r>
              <w:rPr>
                <w:rFonts w:ascii="Arial" w:cs="Arial" w:eastAsia="Arial" w:hAnsi="Arial"/>
                <w:sz w:val="14"/>
                <w:szCs w:val="14"/>
                <w:b w:val="1"/>
                <w:bCs w:val="1"/>
                <w:color w:val="auto"/>
              </w:rPr>
              <w:t>File Number</w:t>
            </w:r>
          </w:p>
        </w:tc>
        <w:tc>
          <w:tcPr>
            <w:tcW w:w="940" w:type="dxa"/>
            <w:vAlign w:val="bottom"/>
            <w:gridSpan w:val="3"/>
          </w:tcPr>
          <w:p>
            <w:pPr>
              <w:ind w:left="260"/>
              <w:spacing w:after="0"/>
              <w:rPr>
                <w:sz w:val="20"/>
                <w:szCs w:val="20"/>
                <w:color w:val="auto"/>
              </w:rPr>
            </w:pPr>
            <w:r>
              <w:rPr>
                <w:rFonts w:ascii="Arial" w:cs="Arial" w:eastAsia="Arial" w:hAnsi="Arial"/>
                <w:sz w:val="14"/>
                <w:szCs w:val="14"/>
                <w:b w:val="1"/>
                <w:bCs w:val="1"/>
                <w:color w:val="auto"/>
              </w:rPr>
              <w:t>Exhibit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270"/>
        </w:trPr>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3"/>
                <w:szCs w:val="23"/>
                <w:color w:val="auto"/>
              </w:rPr>
            </w:pPr>
          </w:p>
        </w:tc>
        <w:tc>
          <w:tcPr>
            <w:tcW w:w="4340" w:type="dxa"/>
            <w:vAlign w:val="bottom"/>
            <w:tcBorders>
              <w:top w:val="single" w:sz="8" w:color="auto"/>
              <w:bottom w:val="single" w:sz="8" w:color="0000EE"/>
            </w:tcBorders>
            <w:gridSpan w:val="5"/>
          </w:tcPr>
          <w:p>
            <w:pPr>
              <w:spacing w:after="0"/>
              <w:rPr>
                <w:rFonts w:ascii="Arial" w:cs="Arial" w:eastAsia="Arial" w:hAnsi="Arial"/>
                <w:sz w:val="18"/>
                <w:szCs w:val="18"/>
                <w:color w:val="0000EE"/>
                <w:w w:val="91"/>
              </w:rPr>
            </w:pPr>
            <w:hyperlink r:id="rId20">
              <w:r>
                <w:rPr>
                  <w:rFonts w:ascii="Arial" w:cs="Arial" w:eastAsia="Arial" w:hAnsi="Arial"/>
                  <w:sz w:val="18"/>
                  <w:szCs w:val="18"/>
                  <w:color w:val="0000EE"/>
                  <w:w w:val="91"/>
                </w:rPr>
                <w:t>Form of Class A common stock certificate of the Registrant.</w:t>
              </w:r>
            </w:hyperlink>
          </w:p>
        </w:tc>
        <w:tc>
          <w:tcPr>
            <w:tcW w:w="1900" w:type="dxa"/>
            <w:vAlign w:val="bottom"/>
            <w:tcBorders>
              <w:top w:val="single" w:sz="8" w:color="auto"/>
            </w:tcBorders>
            <w:gridSpan w:val="6"/>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S-1</w:t>
            </w:r>
          </w:p>
        </w:tc>
        <w:tc>
          <w:tcPr>
            <w:tcW w:w="220" w:type="dxa"/>
            <w:vAlign w:val="bottom"/>
          </w:tcPr>
          <w:p>
            <w:pPr>
              <w:spacing w:after="0"/>
              <w:rPr>
                <w:sz w:val="23"/>
                <w:szCs w:val="23"/>
                <w:color w:val="auto"/>
              </w:rPr>
            </w:pPr>
          </w:p>
        </w:tc>
        <w:tc>
          <w:tcPr>
            <w:tcW w:w="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9"/>
              </w:rPr>
              <w:t>333-230444</w:t>
            </w:r>
          </w:p>
        </w:tc>
        <w:tc>
          <w:tcPr>
            <w:tcW w:w="280" w:type="dxa"/>
            <w:vAlign w:val="bottom"/>
          </w:tcPr>
          <w:p>
            <w:pPr>
              <w:spacing w:after="0"/>
              <w:rPr>
                <w:sz w:val="23"/>
                <w:szCs w:val="2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3"/>
                <w:szCs w:val="23"/>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April 8, 2019</w:t>
            </w: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4"/>
                <w:szCs w:val="24"/>
                <w:color w:val="auto"/>
              </w:rPr>
            </w:pPr>
          </w:p>
        </w:tc>
        <w:tc>
          <w:tcPr>
            <w:tcW w:w="17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Opinion of Cooley LLP.</w:t>
            </w:r>
          </w:p>
        </w:tc>
        <w:tc>
          <w:tcPr>
            <w:tcW w:w="4500" w:type="dxa"/>
            <w:vAlign w:val="bottom"/>
            <w:gridSpan w:val="9"/>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w w:val="90"/>
              </w:rPr>
              <w:t>23.1*</w:t>
            </w:r>
          </w:p>
        </w:tc>
        <w:tc>
          <w:tcPr>
            <w:tcW w:w="200" w:type="dxa"/>
            <w:vAlign w:val="bottom"/>
          </w:tcPr>
          <w:p>
            <w:pPr>
              <w:spacing w:after="0"/>
              <w:rPr>
                <w:sz w:val="24"/>
                <w:szCs w:val="24"/>
                <w:color w:val="auto"/>
              </w:rPr>
            </w:pPr>
          </w:p>
        </w:tc>
        <w:tc>
          <w:tcPr>
            <w:tcW w:w="35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3"/>
              </w:rPr>
              <w:t>Consent of Cooley LLP (included in Exhibit 5.1).</w:t>
            </w:r>
          </w:p>
        </w:tc>
        <w:tc>
          <w:tcPr>
            <w:tcW w:w="2660" w:type="dxa"/>
            <w:vAlign w:val="bottom"/>
            <w:gridSpan w:val="7"/>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w w:val="90"/>
              </w:rPr>
              <w:t>23.2*</w:t>
            </w:r>
          </w:p>
        </w:tc>
        <w:tc>
          <w:tcPr>
            <w:tcW w:w="200" w:type="dxa"/>
            <w:vAlign w:val="bottom"/>
          </w:tcPr>
          <w:p>
            <w:pPr>
              <w:spacing w:after="0"/>
              <w:rPr>
                <w:sz w:val="24"/>
                <w:szCs w:val="24"/>
                <w:color w:val="auto"/>
              </w:rPr>
            </w:pPr>
          </w:p>
        </w:tc>
        <w:tc>
          <w:tcPr>
            <w:tcW w:w="53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1"/>
              </w:rPr>
              <w:t>Consent of KPMG LLP, Independent Registered Public Accounting Firm.</w:t>
            </w:r>
          </w:p>
        </w:tc>
        <w:tc>
          <w:tcPr>
            <w:tcW w:w="92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w w:val="90"/>
              </w:rPr>
              <w:t>24.1*</w:t>
            </w:r>
          </w:p>
        </w:tc>
        <w:tc>
          <w:tcPr>
            <w:tcW w:w="200" w:type="dxa"/>
            <w:vAlign w:val="bottom"/>
          </w:tcPr>
          <w:p>
            <w:pPr>
              <w:spacing w:after="0"/>
              <w:rPr>
                <w:sz w:val="24"/>
                <w:szCs w:val="24"/>
                <w:color w:val="auto"/>
              </w:rPr>
            </w:pPr>
          </w:p>
        </w:tc>
        <w:tc>
          <w:tcPr>
            <w:tcW w:w="49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Power of Attorney (included on the signature page of this Form S-8).</w:t>
              </w:r>
            </w:hyperlink>
          </w:p>
        </w:tc>
        <w:tc>
          <w:tcPr>
            <w:tcW w:w="126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w w:val="85"/>
              </w:rPr>
              <w:t>99.1</w:t>
            </w:r>
          </w:p>
        </w:tc>
        <w:tc>
          <w:tcPr>
            <w:tcW w:w="200" w:type="dxa"/>
            <w:vAlign w:val="bottom"/>
          </w:tcPr>
          <w:p>
            <w:pPr>
              <w:spacing w:after="0"/>
              <w:rPr>
                <w:sz w:val="24"/>
                <w:szCs w:val="24"/>
                <w:color w:val="auto"/>
              </w:rPr>
            </w:pPr>
          </w:p>
        </w:tc>
        <w:tc>
          <w:tcPr>
            <w:tcW w:w="6180" w:type="dxa"/>
            <w:vAlign w:val="bottom"/>
            <w:tcBorders>
              <w:bottom w:val="single" w:sz="8" w:color="0000EE"/>
            </w:tcBorders>
            <w:gridSpan w:val="10"/>
          </w:tcPr>
          <w:p>
            <w:pPr>
              <w:spacing w:after="0"/>
              <w:rPr>
                <w:rFonts w:ascii="Arial" w:cs="Arial" w:eastAsia="Arial" w:hAnsi="Arial"/>
                <w:sz w:val="18"/>
                <w:szCs w:val="18"/>
                <w:color w:val="0000EE"/>
                <w:w w:val="90"/>
              </w:rPr>
            </w:pPr>
            <w:hyperlink r:id="rId21">
              <w:r>
                <w:rPr>
                  <w:rFonts w:ascii="Arial" w:cs="Arial" w:eastAsia="Arial" w:hAnsi="Arial"/>
                  <w:sz w:val="18"/>
                  <w:szCs w:val="18"/>
                  <w:color w:val="0000EE"/>
                  <w:w w:val="90"/>
                </w:rPr>
                <w:t>Zoom Video Communications, Inc. Fourth Amended and Restated 2011 Global Share</w:t>
              </w:r>
            </w:hyperlink>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40" w:type="dxa"/>
            <w:vAlign w:val="bottom"/>
            <w:gridSpan w:val="11"/>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Plan, and forms of agreements thereunder.</w:t>
              </w:r>
            </w:hyperlink>
          </w:p>
        </w:tc>
        <w:tc>
          <w:tcPr>
            <w:tcW w:w="220" w:type="dxa"/>
            <w:vAlign w:val="bottom"/>
          </w:tcPr>
          <w:p>
            <w:pPr>
              <w:spacing w:after="0"/>
              <w:rPr>
                <w:sz w:val="17"/>
                <w:szCs w:val="17"/>
                <w:color w:val="auto"/>
              </w:rPr>
            </w:pPr>
          </w:p>
        </w:tc>
        <w:tc>
          <w:tcPr>
            <w:tcW w:w="780" w:type="dxa"/>
            <w:vAlign w:val="bottom"/>
            <w:gridSpan w:val="2"/>
          </w:tcPr>
          <w:p>
            <w:pPr>
              <w:jc w:val="center"/>
              <w:ind w:right="240"/>
              <w:spacing w:after="0" w:line="196" w:lineRule="exact"/>
              <w:rPr>
                <w:sz w:val="20"/>
                <w:szCs w:val="20"/>
                <w:color w:val="auto"/>
              </w:rPr>
            </w:pPr>
            <w:r>
              <w:rPr>
                <w:rFonts w:ascii="Arial" w:cs="Arial" w:eastAsia="Arial" w:hAnsi="Arial"/>
                <w:sz w:val="18"/>
                <w:szCs w:val="18"/>
                <w:color w:val="auto"/>
                <w:w w:val="92"/>
              </w:rPr>
              <w:t>S-1</w:t>
            </w:r>
          </w:p>
        </w:tc>
        <w:tc>
          <w:tcPr>
            <w:tcW w:w="920" w:type="dxa"/>
            <w:vAlign w:val="bottom"/>
          </w:tcPr>
          <w:p>
            <w:pPr>
              <w:ind w:left="40"/>
              <w:spacing w:after="0" w:line="196" w:lineRule="exact"/>
              <w:rPr>
                <w:sz w:val="20"/>
                <w:szCs w:val="20"/>
                <w:color w:val="auto"/>
              </w:rPr>
            </w:pPr>
            <w:r>
              <w:rPr>
                <w:rFonts w:ascii="Arial" w:cs="Arial" w:eastAsia="Arial" w:hAnsi="Arial"/>
                <w:sz w:val="18"/>
                <w:szCs w:val="18"/>
                <w:color w:val="auto"/>
                <w:w w:val="89"/>
              </w:rPr>
              <w:t>333-230444</w:t>
            </w:r>
          </w:p>
        </w:tc>
        <w:tc>
          <w:tcPr>
            <w:tcW w:w="7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1"/>
              </w:rPr>
              <w:t>March 22, 2019</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w w:val="85"/>
              </w:rPr>
              <w:t>99.2</w:t>
            </w:r>
          </w:p>
        </w:tc>
        <w:tc>
          <w:tcPr>
            <w:tcW w:w="200" w:type="dxa"/>
            <w:vAlign w:val="bottom"/>
          </w:tcPr>
          <w:p>
            <w:pPr>
              <w:spacing w:after="0"/>
              <w:rPr>
                <w:sz w:val="24"/>
                <w:szCs w:val="24"/>
                <w:color w:val="auto"/>
              </w:rPr>
            </w:pPr>
          </w:p>
        </w:tc>
        <w:tc>
          <w:tcPr>
            <w:tcW w:w="5520" w:type="dxa"/>
            <w:vAlign w:val="bottom"/>
            <w:tcBorders>
              <w:bottom w:val="single" w:sz="8" w:color="0000EE"/>
            </w:tcBorders>
            <w:gridSpan w:val="9"/>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Zoom Video Communications, Inc. 2019 Equity Incentive Plan and forms of</w:t>
              </w:r>
            </w:hyperlink>
          </w:p>
        </w:tc>
        <w:tc>
          <w:tcPr>
            <w:tcW w:w="72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40" w:type="dxa"/>
            <w:vAlign w:val="bottom"/>
            <w:gridSpan w:val="11"/>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agreements thereunder.</w:t>
              </w:r>
            </w:hyperlink>
          </w:p>
        </w:tc>
        <w:tc>
          <w:tcPr>
            <w:tcW w:w="220" w:type="dxa"/>
            <w:vAlign w:val="bottom"/>
          </w:tcPr>
          <w:p>
            <w:pPr>
              <w:spacing w:after="0"/>
              <w:rPr>
                <w:sz w:val="17"/>
                <w:szCs w:val="17"/>
                <w:color w:val="auto"/>
              </w:rPr>
            </w:pPr>
          </w:p>
        </w:tc>
        <w:tc>
          <w:tcPr>
            <w:tcW w:w="780" w:type="dxa"/>
            <w:vAlign w:val="bottom"/>
            <w:gridSpan w:val="2"/>
          </w:tcPr>
          <w:p>
            <w:pPr>
              <w:jc w:val="center"/>
              <w:ind w:right="240"/>
              <w:spacing w:after="0" w:line="196" w:lineRule="exact"/>
              <w:rPr>
                <w:sz w:val="20"/>
                <w:szCs w:val="20"/>
                <w:color w:val="auto"/>
              </w:rPr>
            </w:pPr>
            <w:r>
              <w:rPr>
                <w:rFonts w:ascii="Arial" w:cs="Arial" w:eastAsia="Arial" w:hAnsi="Arial"/>
                <w:sz w:val="18"/>
                <w:szCs w:val="18"/>
                <w:color w:val="auto"/>
                <w:w w:val="92"/>
              </w:rPr>
              <w:t>S-1</w:t>
            </w:r>
          </w:p>
        </w:tc>
        <w:tc>
          <w:tcPr>
            <w:tcW w:w="920" w:type="dxa"/>
            <w:vAlign w:val="bottom"/>
          </w:tcPr>
          <w:p>
            <w:pPr>
              <w:ind w:left="40"/>
              <w:spacing w:after="0" w:line="196" w:lineRule="exact"/>
              <w:rPr>
                <w:sz w:val="20"/>
                <w:szCs w:val="20"/>
                <w:color w:val="auto"/>
              </w:rPr>
            </w:pPr>
            <w:r>
              <w:rPr>
                <w:rFonts w:ascii="Arial" w:cs="Arial" w:eastAsia="Arial" w:hAnsi="Arial"/>
                <w:sz w:val="18"/>
                <w:szCs w:val="18"/>
                <w:color w:val="auto"/>
                <w:w w:val="89"/>
              </w:rPr>
              <w:t>333-230444</w:t>
            </w:r>
          </w:p>
        </w:tc>
        <w:tc>
          <w:tcPr>
            <w:tcW w:w="7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10.2</w:t>
            </w:r>
          </w:p>
        </w:tc>
        <w:tc>
          <w:tcPr>
            <w:tcW w:w="20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94"/>
              </w:rPr>
              <w:t>April 8, 2019</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w w:val="85"/>
              </w:rPr>
              <w:t>99.3</w:t>
            </w:r>
          </w:p>
        </w:tc>
        <w:tc>
          <w:tcPr>
            <w:tcW w:w="200" w:type="dxa"/>
            <w:vAlign w:val="bottom"/>
          </w:tcPr>
          <w:p>
            <w:pPr>
              <w:spacing w:after="0"/>
              <w:rPr>
                <w:sz w:val="24"/>
                <w:szCs w:val="24"/>
                <w:color w:val="auto"/>
              </w:rPr>
            </w:pPr>
          </w:p>
        </w:tc>
        <w:tc>
          <w:tcPr>
            <w:tcW w:w="6240" w:type="dxa"/>
            <w:vAlign w:val="bottom"/>
            <w:gridSpan w:val="11"/>
          </w:tcPr>
          <w:p>
            <w:pPr>
              <w:spacing w:after="0"/>
              <w:rPr>
                <w:rFonts w:ascii="Arial" w:cs="Arial" w:eastAsia="Arial" w:hAnsi="Arial"/>
                <w:sz w:val="18"/>
                <w:szCs w:val="18"/>
                <w:color w:val="0000EE"/>
              </w:rPr>
            </w:pPr>
            <w:hyperlink r:id="rId23">
              <w:r>
                <w:rPr>
                  <w:rFonts w:ascii="Arial" w:cs="Arial" w:eastAsia="Arial" w:hAnsi="Arial"/>
                  <w:sz w:val="18"/>
                  <w:szCs w:val="18"/>
                  <w:color w:val="0000EE"/>
                </w:rPr>
                <w:t>Zoom Video Communications, Inc. 2019 Employee Stock Purchase Plan.</w:t>
              </w:r>
            </w:hyperlink>
          </w:p>
        </w:tc>
        <w:tc>
          <w:tcPr>
            <w:tcW w:w="22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S-1</w:t>
            </w:r>
          </w:p>
        </w:tc>
        <w:tc>
          <w:tcPr>
            <w:tcW w:w="920" w:type="dxa"/>
            <w:vAlign w:val="bottom"/>
          </w:tcPr>
          <w:p>
            <w:pPr>
              <w:ind w:left="40"/>
              <w:spacing w:after="0"/>
              <w:rPr>
                <w:sz w:val="20"/>
                <w:szCs w:val="20"/>
                <w:color w:val="auto"/>
              </w:rPr>
            </w:pPr>
            <w:r>
              <w:rPr>
                <w:rFonts w:ascii="Arial" w:cs="Arial" w:eastAsia="Arial" w:hAnsi="Arial"/>
                <w:sz w:val="18"/>
                <w:szCs w:val="18"/>
                <w:color w:val="auto"/>
                <w:w w:val="89"/>
              </w:rPr>
              <w:t>333-230444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April 8, 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102870</wp:posOffset>
            </wp:positionV>
            <wp:extent cx="6946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040"/>
          </w:cols>
          <w:pgMar w:left="440" w:top="270" w:right="41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w:t>
      </w:r>
      <w:r>
        <w:rPr>
          <w:sz w:val="20"/>
          <w:szCs w:val="20"/>
          <w:color w:val="auto"/>
        </w:rPr>
        <w:tab/>
      </w:r>
      <w:r>
        <w:rPr>
          <w:rFonts w:ascii="Arial" w:cs="Arial" w:eastAsia="Arial" w:hAnsi="Arial"/>
          <w:sz w:val="18"/>
          <w:szCs w:val="18"/>
          <w:b w:val="1"/>
          <w:bCs w:val="1"/>
          <w:color w:val="auto"/>
        </w:rPr>
        <w:t>UNDERTAKINGS</w:t>
      </w:r>
    </w:p>
    <w:p>
      <w:pPr>
        <w:spacing w:after="0" w:line="135" w:lineRule="exact"/>
        <w:rPr>
          <w:sz w:val="20"/>
          <w:szCs w:val="20"/>
          <w:color w:val="auto"/>
        </w:rPr>
      </w:pPr>
    </w:p>
    <w:p>
      <w:pPr>
        <w:ind w:left="440" w:hanging="436"/>
        <w:spacing w:after="0"/>
        <w:tabs>
          <w:tab w:leader="none" w:pos="4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b w:val="1"/>
          <w:bCs w:val="1"/>
          <w:color w:val="auto"/>
        </w:rPr>
      </w:pPr>
    </w:p>
    <w:p>
      <w:pPr>
        <w:ind w:left="840" w:hanging="396"/>
        <w:spacing w:after="0"/>
        <w:tabs>
          <w:tab w:leader="none" w:pos="84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b w:val="1"/>
          <w:bCs w:val="1"/>
          <w:color w:val="auto"/>
        </w:rPr>
      </w:pPr>
    </w:p>
    <w:p>
      <w:pPr>
        <w:ind w:left="1240" w:hanging="355"/>
        <w:spacing w:after="0"/>
        <w:tabs>
          <w:tab w:leader="none" w:pos="1240" w:val="left"/>
        </w:tabs>
        <w:numPr>
          <w:ilvl w:val="2"/>
          <w:numId w:val="3"/>
        </w:numPr>
        <w:rPr>
          <w:rFonts w:ascii="Arial" w:cs="Arial" w:eastAsia="Arial" w:hAnsi="Arial"/>
          <w:sz w:val="18"/>
          <w:szCs w:val="18"/>
          <w:b w:val="1"/>
          <w:bCs w:val="1"/>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b w:val="1"/>
          <w:bCs w:val="1"/>
          <w:color w:val="auto"/>
        </w:rPr>
      </w:pPr>
    </w:p>
    <w:p>
      <w:pPr>
        <w:ind w:firstLine="885"/>
        <w:spacing w:after="0" w:line="293" w:lineRule="auto"/>
        <w:tabs>
          <w:tab w:leader="none" w:pos="1278" w:val="left"/>
        </w:tabs>
        <w:numPr>
          <w:ilvl w:val="2"/>
          <w:numId w:val="3"/>
        </w:numPr>
        <w:rPr>
          <w:rFonts w:ascii="Arial" w:cs="Arial" w:eastAsia="Arial" w:hAnsi="Arial"/>
          <w:sz w:val="16"/>
          <w:szCs w:val="16"/>
          <w:b w:val="1"/>
          <w:bCs w:val="1"/>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56" w:lineRule="exact"/>
        <w:rPr>
          <w:rFonts w:ascii="Arial" w:cs="Arial" w:eastAsia="Arial" w:hAnsi="Arial"/>
          <w:sz w:val="16"/>
          <w:szCs w:val="16"/>
          <w:b w:val="1"/>
          <w:bCs w:val="1"/>
          <w:color w:val="auto"/>
        </w:rPr>
      </w:pPr>
    </w:p>
    <w:p>
      <w:pPr>
        <w:ind w:right="240" w:firstLine="885"/>
        <w:spacing w:after="0" w:line="277" w:lineRule="auto"/>
        <w:tabs>
          <w:tab w:leader="none" w:pos="1328" w:val="left"/>
        </w:tabs>
        <w:numPr>
          <w:ilvl w:val="2"/>
          <w:numId w:val="3"/>
        </w:numPr>
        <w:rPr>
          <w:rFonts w:ascii="Arial" w:cs="Arial" w:eastAsia="Arial" w:hAnsi="Arial"/>
          <w:sz w:val="18"/>
          <w:szCs w:val="18"/>
          <w:b w:val="1"/>
          <w:bCs w:val="1"/>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(a)(i) and (a)(ii)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Exchange Act that are incorporated by reference in the registration statement.</w:t>
      </w:r>
    </w:p>
    <w:p>
      <w:pPr>
        <w:spacing w:after="0" w:line="73" w:lineRule="exact"/>
        <w:rPr>
          <w:sz w:val="20"/>
          <w:szCs w:val="20"/>
          <w:color w:val="auto"/>
        </w:rPr>
      </w:pPr>
    </w:p>
    <w:p>
      <w:pPr>
        <w:ind w:right="60" w:firstLine="444"/>
        <w:spacing w:after="0" w:line="264" w:lineRule="auto"/>
        <w:tabs>
          <w:tab w:leader="none" w:pos="837"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73" w:lineRule="exact"/>
        <w:rPr>
          <w:rFonts w:ascii="Arial" w:cs="Arial" w:eastAsia="Arial" w:hAnsi="Arial"/>
          <w:sz w:val="18"/>
          <w:szCs w:val="18"/>
          <w:b w:val="1"/>
          <w:bCs w:val="1"/>
          <w:color w:val="auto"/>
        </w:rPr>
      </w:pPr>
    </w:p>
    <w:p>
      <w:pPr>
        <w:ind w:right="500" w:firstLine="444"/>
        <w:spacing w:after="0" w:line="277" w:lineRule="auto"/>
        <w:tabs>
          <w:tab w:leader="none" w:pos="817" w:val="left"/>
        </w:tabs>
        <w:numPr>
          <w:ilvl w:val="1"/>
          <w:numId w:val="4"/>
        </w:numPr>
        <w:rPr>
          <w:rFonts w:ascii="Arial" w:cs="Arial" w:eastAsia="Arial" w:hAnsi="Arial"/>
          <w:sz w:val="18"/>
          <w:szCs w:val="18"/>
          <w:b w:val="1"/>
          <w:bCs w:val="1"/>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b w:val="1"/>
          <w:bCs w:val="1"/>
          <w:color w:val="auto"/>
        </w:rPr>
      </w:pPr>
    </w:p>
    <w:p>
      <w:pPr>
        <w:ind w:right="140" w:firstLine="4"/>
        <w:spacing w:after="0" w:line="257" w:lineRule="auto"/>
        <w:tabs>
          <w:tab w:leader="none" w:pos="312"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88" w:lineRule="exact"/>
        <w:rPr>
          <w:rFonts w:ascii="Arial" w:cs="Arial" w:eastAsia="Arial" w:hAnsi="Arial"/>
          <w:sz w:val="18"/>
          <w:szCs w:val="18"/>
          <w:b w:val="1"/>
          <w:bCs w:val="1"/>
          <w:color w:val="auto"/>
        </w:rPr>
      </w:pPr>
    </w:p>
    <w:p>
      <w:pPr>
        <w:ind w:right="220" w:firstLine="4"/>
        <w:spacing w:after="0" w:line="271" w:lineRule="auto"/>
        <w:tabs>
          <w:tab w:leader="none" w:pos="315"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0"/>
          </w:cols>
          <w:pgMar w:left="440" w:top="270" w:right="459" w:bottom="1440" w:gutter="0" w:footer="0" w:header="0"/>
        </w:sectPr>
      </w:pPr>
    </w:p>
    <w:bookmarkStart w:id="5" w:name="page6"/>
    <w:bookmarkEnd w:id="5"/>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Jose, State of California, on this 23rd day of April, 2019.</w:t>
      </w:r>
    </w:p>
    <w:p>
      <w:pPr>
        <w:spacing w:after="0" w:line="20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5"/>
          <w:szCs w:val="15"/>
          <w:b w:val="1"/>
          <w:bCs w:val="1"/>
          <w:color w:val="auto"/>
        </w:rPr>
        <w:t>OOM</w:t>
      </w:r>
      <w:r>
        <w:rPr>
          <w:rFonts w:ascii="Arial" w:cs="Arial" w:eastAsia="Arial" w:hAnsi="Arial"/>
          <w:sz w:val="18"/>
          <w:szCs w:val="18"/>
          <w:b w:val="1"/>
          <w:bCs w:val="1"/>
          <w:color w:val="auto"/>
        </w:rPr>
        <w:t xml:space="preserve"> V</w:t>
      </w:r>
      <w:r>
        <w:rPr>
          <w:rFonts w:ascii="Arial" w:cs="Arial" w:eastAsia="Arial" w:hAnsi="Arial"/>
          <w:sz w:val="15"/>
          <w:szCs w:val="15"/>
          <w:b w:val="1"/>
          <w:bCs w:val="1"/>
          <w:color w:val="auto"/>
        </w:rPr>
        <w:t>IDEO</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OMMUNICATIONS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Eric S. Yuan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680"/>
          </w:cols>
          <w:pgMar w:left="440" w:top="270" w:right="77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b w:val="1"/>
          <w:bCs w:val="1"/>
          <w:color w:val="auto"/>
        </w:rPr>
        <w:t>K</w:t>
      </w:r>
      <w:r>
        <w:rPr>
          <w:rFonts w:ascii="Arial" w:cs="Arial" w:eastAsia="Arial" w:hAnsi="Arial"/>
          <w:sz w:val="15"/>
          <w:szCs w:val="15"/>
          <w:b w:val="1"/>
          <w:bCs w:val="1"/>
          <w:color w:val="auto"/>
        </w:rPr>
        <w:t>NOW</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LL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ERSONS</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Y</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HESE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RESENTS</w:t>
      </w:r>
      <w:r>
        <w:rPr>
          <w:rFonts w:ascii="Arial" w:cs="Arial" w:eastAsia="Arial" w:hAnsi="Arial"/>
          <w:sz w:val="18"/>
          <w:szCs w:val="18"/>
          <w:color w:val="auto"/>
        </w:rPr>
        <w:t>, that each person whose signature appears below constitutes and appoints Eric S. Yuan, Kelly</w:t>
      </w:r>
      <w:r>
        <w:rPr>
          <w:rFonts w:ascii="Arial" w:cs="Arial" w:eastAsia="Arial" w:hAnsi="Arial"/>
          <w:sz w:val="18"/>
          <w:szCs w:val="18"/>
          <w:b w:val="1"/>
          <w:bCs w:val="1"/>
          <w:color w:val="auto"/>
        </w:rPr>
        <w:t xml:space="preserve"> </w:t>
      </w:r>
      <w:r>
        <w:rPr>
          <w:rFonts w:ascii="Arial" w:cs="Arial" w:eastAsia="Arial" w:hAnsi="Arial"/>
          <w:sz w:val="18"/>
          <w:szCs w:val="18"/>
          <w:color w:val="auto"/>
        </w:rPr>
        <w:t>Steckelberg and Aparna Bawa, and each of them, as his or her true and lawful attorneys-in-fact and agents, each with the full power of substitution, for him or her and in their name, place or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189"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760" w:type="dxa"/>
            <w:vAlign w:val="bottom"/>
          </w:tcPr>
          <w:p>
            <w:pPr>
              <w:spacing w:after="0"/>
              <w:rPr>
                <w:sz w:val="14"/>
                <w:szCs w:val="14"/>
                <w:color w:val="auto"/>
              </w:rPr>
            </w:pPr>
          </w:p>
        </w:tc>
        <w:tc>
          <w:tcPr>
            <w:tcW w:w="4900" w:type="dxa"/>
            <w:vAlign w:val="bottom"/>
            <w:gridSpan w:val="3"/>
          </w:tcPr>
          <w:p>
            <w:pPr>
              <w:jc w:val="center"/>
              <w:ind w:left="131"/>
              <w:spacing w:after="0"/>
              <w:rPr>
                <w:sz w:val="20"/>
                <w:szCs w:val="20"/>
                <w:color w:val="auto"/>
              </w:rPr>
            </w:pPr>
            <w:r>
              <w:rPr>
                <w:rFonts w:ascii="Arial" w:cs="Arial" w:eastAsia="Arial" w:hAnsi="Arial"/>
                <w:sz w:val="14"/>
                <w:szCs w:val="14"/>
                <w:b w:val="1"/>
                <w:bCs w:val="1"/>
                <w:color w:val="auto"/>
                <w:w w:val="97"/>
              </w:rPr>
              <w:t>Title</w:t>
            </w:r>
          </w:p>
        </w:tc>
        <w:tc>
          <w:tcPr>
            <w:tcW w:w="1700" w:type="dxa"/>
            <w:vAlign w:val="bottom"/>
            <w:gridSpan w:val="3"/>
          </w:tcPr>
          <w:p>
            <w:pPr>
              <w:jc w:val="center"/>
              <w:ind w:left="55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26"/>
        </w:trPr>
        <w:tc>
          <w:tcPr>
            <w:tcW w:w="1760" w:type="dxa"/>
            <w:vAlign w:val="bottom"/>
            <w:gridSpan w:val="2"/>
          </w:tcPr>
          <w:p>
            <w:pPr>
              <w:spacing w:after="0"/>
              <w:rPr>
                <w:sz w:val="20"/>
                <w:szCs w:val="20"/>
                <w:color w:val="auto"/>
              </w:rPr>
            </w:pPr>
            <w:r>
              <w:rPr>
                <w:rFonts w:ascii="Arial" w:cs="Arial" w:eastAsia="Arial" w:hAnsi="Arial"/>
                <w:sz w:val="18"/>
                <w:szCs w:val="18"/>
                <w:color w:val="auto"/>
              </w:rPr>
              <w:t>/s/ Eric S. Yuan</w:t>
            </w:r>
          </w:p>
        </w:tc>
        <w:tc>
          <w:tcPr>
            <w:tcW w:w="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900" w:type="dxa"/>
            <w:vAlign w:val="bottom"/>
            <w:gridSpan w:val="3"/>
          </w:tcPr>
          <w:p>
            <w:pPr>
              <w:jc w:val="center"/>
              <w:ind w:left="131"/>
              <w:spacing w:after="0"/>
              <w:rPr>
                <w:sz w:val="20"/>
                <w:szCs w:val="20"/>
                <w:color w:val="auto"/>
              </w:rPr>
            </w:pPr>
            <w:r>
              <w:rPr>
                <w:rFonts w:ascii="Arial" w:cs="Arial" w:eastAsia="Arial" w:hAnsi="Arial"/>
                <w:sz w:val="18"/>
                <w:szCs w:val="18"/>
                <w:color w:val="auto"/>
                <w:w w:val="92"/>
              </w:rPr>
              <w:t>President, Chief Executive Officer and Director</w:t>
            </w:r>
          </w:p>
        </w:tc>
        <w:tc>
          <w:tcPr>
            <w:tcW w:w="1700" w:type="dxa"/>
            <w:vAlign w:val="bottom"/>
            <w:gridSpan w:val="3"/>
          </w:tcPr>
          <w:p>
            <w:pPr>
              <w:jc w:val="center"/>
              <w:ind w:left="552"/>
              <w:spacing w:after="0"/>
              <w:rPr>
                <w:sz w:val="20"/>
                <w:szCs w:val="20"/>
                <w:color w:val="auto"/>
              </w:rPr>
            </w:pPr>
            <w:r>
              <w:rPr>
                <w:rFonts w:ascii="Arial" w:cs="Arial" w:eastAsia="Arial" w:hAnsi="Arial"/>
                <w:sz w:val="18"/>
                <w:szCs w:val="18"/>
                <w:color w:val="auto"/>
                <w:w w:val="95"/>
              </w:rPr>
              <w:t>April 23, 2019</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Eric S. Yuan</w:t>
            </w:r>
          </w:p>
        </w:tc>
        <w:tc>
          <w:tcPr>
            <w:tcW w:w="4900" w:type="dxa"/>
            <w:vAlign w:val="bottom"/>
            <w:gridSpan w:val="3"/>
          </w:tcPr>
          <w:p>
            <w:pPr>
              <w:jc w:val="center"/>
              <w:ind w:left="111"/>
              <w:spacing w:after="0"/>
              <w:rPr>
                <w:sz w:val="20"/>
                <w:szCs w:val="20"/>
                <w:color w:val="auto"/>
              </w:rPr>
            </w:pPr>
            <w:r>
              <w:rPr>
                <w:rFonts w:ascii="Arial" w:cs="Arial" w:eastAsia="Arial" w:hAnsi="Arial"/>
                <w:sz w:val="18"/>
                <w:szCs w:val="18"/>
                <w:i w:val="1"/>
                <w:iCs w:val="1"/>
                <w:color w:val="auto"/>
                <w:w w:val="94"/>
              </w:rPr>
              <w:t>(Principal Executive Officer)</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120" w:type="dxa"/>
            <w:vAlign w:val="bottom"/>
            <w:gridSpan w:val="4"/>
          </w:tcPr>
          <w:p>
            <w:pPr>
              <w:spacing w:after="0"/>
              <w:rPr>
                <w:sz w:val="20"/>
                <w:szCs w:val="20"/>
                <w:color w:val="auto"/>
              </w:rPr>
            </w:pPr>
            <w:r>
              <w:rPr>
                <w:rFonts w:ascii="Arial" w:cs="Arial" w:eastAsia="Arial" w:hAnsi="Arial"/>
                <w:sz w:val="18"/>
                <w:szCs w:val="18"/>
                <w:color w:val="auto"/>
              </w:rPr>
              <w:t>/s/ Kelly Steckelberg</w:t>
            </w:r>
          </w:p>
        </w:tc>
        <w:tc>
          <w:tcPr>
            <w:tcW w:w="4900" w:type="dxa"/>
            <w:vAlign w:val="bottom"/>
            <w:gridSpan w:val="3"/>
          </w:tcPr>
          <w:p>
            <w:pPr>
              <w:jc w:val="center"/>
              <w:ind w:left="131"/>
              <w:spacing w:after="0"/>
              <w:rPr>
                <w:sz w:val="20"/>
                <w:szCs w:val="20"/>
                <w:color w:val="auto"/>
              </w:rPr>
            </w:pPr>
            <w:r>
              <w:rPr>
                <w:rFonts w:ascii="Arial" w:cs="Arial" w:eastAsia="Arial" w:hAnsi="Arial"/>
                <w:sz w:val="18"/>
                <w:szCs w:val="18"/>
                <w:color w:val="auto"/>
                <w:w w:val="94"/>
              </w:rPr>
              <w:t>Chief Financial Officer</w:t>
            </w:r>
          </w:p>
        </w:tc>
        <w:tc>
          <w:tcPr>
            <w:tcW w:w="1700" w:type="dxa"/>
            <w:vAlign w:val="bottom"/>
            <w:gridSpan w:val="3"/>
          </w:tcPr>
          <w:p>
            <w:pPr>
              <w:jc w:val="center"/>
              <w:ind w:left="552"/>
              <w:spacing w:after="0"/>
              <w:rPr>
                <w:sz w:val="20"/>
                <w:szCs w:val="20"/>
                <w:color w:val="auto"/>
              </w:rPr>
            </w:pPr>
            <w:r>
              <w:rPr>
                <w:rFonts w:ascii="Arial" w:cs="Arial" w:eastAsia="Arial" w:hAnsi="Arial"/>
                <w:sz w:val="18"/>
                <w:szCs w:val="18"/>
                <w:color w:val="auto"/>
                <w:w w:val="95"/>
              </w:rPr>
              <w:t>April 23, 2019</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Kelly Steckelberg</w:t>
            </w:r>
          </w:p>
        </w:tc>
        <w:tc>
          <w:tcPr>
            <w:tcW w:w="4900" w:type="dxa"/>
            <w:vAlign w:val="bottom"/>
            <w:gridSpan w:val="3"/>
          </w:tcPr>
          <w:p>
            <w:pPr>
              <w:jc w:val="center"/>
              <w:ind w:left="111"/>
              <w:spacing w:after="0"/>
              <w:rPr>
                <w:sz w:val="20"/>
                <w:szCs w:val="20"/>
                <w:color w:val="auto"/>
              </w:rPr>
            </w:pPr>
            <w:r>
              <w:rPr>
                <w:rFonts w:ascii="Arial" w:cs="Arial" w:eastAsia="Arial" w:hAnsi="Arial"/>
                <w:sz w:val="18"/>
                <w:szCs w:val="18"/>
                <w:i w:val="1"/>
                <w:iCs w:val="1"/>
                <w:color w:val="auto"/>
                <w:w w:val="97"/>
              </w:rPr>
              <w:t>(Principal Financial Officer)</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120" w:type="dxa"/>
            <w:vAlign w:val="bottom"/>
            <w:gridSpan w:val="4"/>
          </w:tcPr>
          <w:p>
            <w:pPr>
              <w:spacing w:after="0"/>
              <w:rPr>
                <w:sz w:val="20"/>
                <w:szCs w:val="20"/>
                <w:color w:val="auto"/>
              </w:rPr>
            </w:pPr>
            <w:r>
              <w:rPr>
                <w:rFonts w:ascii="Arial" w:cs="Arial" w:eastAsia="Arial" w:hAnsi="Arial"/>
                <w:sz w:val="18"/>
                <w:szCs w:val="18"/>
                <w:color w:val="auto"/>
              </w:rPr>
              <w:t>/s/ Roy Benhorin</w:t>
            </w:r>
          </w:p>
        </w:tc>
        <w:tc>
          <w:tcPr>
            <w:tcW w:w="4900" w:type="dxa"/>
            <w:vAlign w:val="bottom"/>
            <w:gridSpan w:val="3"/>
          </w:tcPr>
          <w:p>
            <w:pPr>
              <w:jc w:val="center"/>
              <w:ind w:left="131"/>
              <w:spacing w:after="0"/>
              <w:rPr>
                <w:sz w:val="20"/>
                <w:szCs w:val="20"/>
                <w:color w:val="auto"/>
              </w:rPr>
            </w:pPr>
            <w:r>
              <w:rPr>
                <w:rFonts w:ascii="Arial" w:cs="Arial" w:eastAsia="Arial" w:hAnsi="Arial"/>
                <w:sz w:val="18"/>
                <w:szCs w:val="18"/>
                <w:color w:val="auto"/>
                <w:w w:val="94"/>
              </w:rPr>
              <w:t>Chief Accounting Officer</w:t>
            </w:r>
          </w:p>
        </w:tc>
        <w:tc>
          <w:tcPr>
            <w:tcW w:w="1700" w:type="dxa"/>
            <w:vAlign w:val="bottom"/>
            <w:gridSpan w:val="3"/>
          </w:tcPr>
          <w:p>
            <w:pPr>
              <w:jc w:val="center"/>
              <w:ind w:left="552"/>
              <w:spacing w:after="0"/>
              <w:rPr>
                <w:sz w:val="20"/>
                <w:szCs w:val="20"/>
                <w:color w:val="auto"/>
              </w:rPr>
            </w:pPr>
            <w:r>
              <w:rPr>
                <w:rFonts w:ascii="Arial" w:cs="Arial" w:eastAsia="Arial" w:hAnsi="Arial"/>
                <w:sz w:val="18"/>
                <w:szCs w:val="18"/>
                <w:color w:val="auto"/>
                <w:w w:val="95"/>
              </w:rPr>
              <w:t>April 23, 2019</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Roy Benhorin</w:t>
            </w:r>
          </w:p>
        </w:tc>
        <w:tc>
          <w:tcPr>
            <w:tcW w:w="4900" w:type="dxa"/>
            <w:vAlign w:val="bottom"/>
            <w:gridSpan w:val="3"/>
          </w:tcPr>
          <w:p>
            <w:pPr>
              <w:jc w:val="center"/>
              <w:ind w:left="111"/>
              <w:spacing w:after="0"/>
              <w:rPr>
                <w:sz w:val="20"/>
                <w:szCs w:val="20"/>
                <w:color w:val="auto"/>
              </w:rPr>
            </w:pPr>
            <w:r>
              <w:rPr>
                <w:rFonts w:ascii="Arial" w:cs="Arial" w:eastAsia="Arial" w:hAnsi="Arial"/>
                <w:sz w:val="18"/>
                <w:szCs w:val="18"/>
                <w:i w:val="1"/>
                <w:iCs w:val="1"/>
                <w:color w:val="auto"/>
                <w:w w:val="95"/>
              </w:rPr>
              <w:t>(Principal Accounting Officer)</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120" w:type="dxa"/>
            <w:vAlign w:val="bottom"/>
            <w:gridSpan w:val="4"/>
          </w:tcPr>
          <w:p>
            <w:pPr>
              <w:spacing w:after="0"/>
              <w:rPr>
                <w:sz w:val="20"/>
                <w:szCs w:val="20"/>
                <w:color w:val="auto"/>
              </w:rPr>
            </w:pPr>
            <w:r>
              <w:rPr>
                <w:rFonts w:ascii="Arial" w:cs="Arial" w:eastAsia="Arial" w:hAnsi="Arial"/>
                <w:sz w:val="18"/>
                <w:szCs w:val="18"/>
                <w:color w:val="auto"/>
              </w:rPr>
              <w:t>/s/ Jonathan Chadwick</w:t>
            </w:r>
          </w:p>
        </w:tc>
        <w:tc>
          <w:tcPr>
            <w:tcW w:w="4900" w:type="dxa"/>
            <w:vAlign w:val="bottom"/>
            <w:gridSpan w:val="3"/>
          </w:tcPr>
          <w:p>
            <w:pPr>
              <w:jc w:val="center"/>
              <w:ind w:left="131"/>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552"/>
              <w:spacing w:after="0"/>
              <w:rPr>
                <w:sz w:val="20"/>
                <w:szCs w:val="20"/>
                <w:color w:val="auto"/>
              </w:rPr>
            </w:pPr>
            <w:r>
              <w:rPr>
                <w:rFonts w:ascii="Arial" w:cs="Arial" w:eastAsia="Arial" w:hAnsi="Arial"/>
                <w:sz w:val="18"/>
                <w:szCs w:val="18"/>
                <w:color w:val="auto"/>
                <w:w w:val="95"/>
              </w:rPr>
              <w:t>April 23, 2019</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0"/>
              </w:rPr>
              <w:t>Jonathan Chadwick</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120" w:type="dxa"/>
            <w:vAlign w:val="bottom"/>
            <w:gridSpan w:val="4"/>
          </w:tcPr>
          <w:p>
            <w:pPr>
              <w:spacing w:after="0"/>
              <w:rPr>
                <w:sz w:val="20"/>
                <w:szCs w:val="20"/>
                <w:color w:val="auto"/>
              </w:rPr>
            </w:pPr>
            <w:r>
              <w:rPr>
                <w:rFonts w:ascii="Arial" w:cs="Arial" w:eastAsia="Arial" w:hAnsi="Arial"/>
                <w:sz w:val="18"/>
                <w:szCs w:val="18"/>
                <w:color w:val="auto"/>
              </w:rPr>
              <w:t>/s/ Carl M. Eschenbach</w:t>
            </w:r>
          </w:p>
        </w:tc>
        <w:tc>
          <w:tcPr>
            <w:tcW w:w="4900" w:type="dxa"/>
            <w:vAlign w:val="bottom"/>
            <w:gridSpan w:val="3"/>
          </w:tcPr>
          <w:p>
            <w:pPr>
              <w:jc w:val="center"/>
              <w:ind w:left="131"/>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552"/>
              <w:spacing w:after="0"/>
              <w:rPr>
                <w:sz w:val="20"/>
                <w:szCs w:val="20"/>
                <w:color w:val="auto"/>
              </w:rPr>
            </w:pPr>
            <w:r>
              <w:rPr>
                <w:rFonts w:ascii="Arial" w:cs="Arial" w:eastAsia="Arial" w:hAnsi="Arial"/>
                <w:sz w:val="18"/>
                <w:szCs w:val="18"/>
                <w:color w:val="auto"/>
                <w:w w:val="95"/>
              </w:rPr>
              <w:t>April 23, 2019</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0"/>
              </w:rPr>
              <w:t>Carl M. Eschenbach</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120" w:type="dxa"/>
            <w:vAlign w:val="bottom"/>
            <w:gridSpan w:val="4"/>
          </w:tcPr>
          <w:p>
            <w:pPr>
              <w:spacing w:after="0"/>
              <w:rPr>
                <w:sz w:val="20"/>
                <w:szCs w:val="20"/>
                <w:color w:val="auto"/>
              </w:rPr>
            </w:pPr>
            <w:r>
              <w:rPr>
                <w:rFonts w:ascii="Arial" w:cs="Arial" w:eastAsia="Arial" w:hAnsi="Arial"/>
                <w:sz w:val="18"/>
                <w:szCs w:val="18"/>
                <w:color w:val="auto"/>
              </w:rPr>
              <w:t>/s/ Peter Gassner</w:t>
            </w:r>
          </w:p>
        </w:tc>
        <w:tc>
          <w:tcPr>
            <w:tcW w:w="4900" w:type="dxa"/>
            <w:vAlign w:val="bottom"/>
            <w:gridSpan w:val="3"/>
          </w:tcPr>
          <w:p>
            <w:pPr>
              <w:jc w:val="center"/>
              <w:ind w:left="131"/>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552"/>
              <w:spacing w:after="0"/>
              <w:rPr>
                <w:sz w:val="20"/>
                <w:szCs w:val="20"/>
                <w:color w:val="auto"/>
              </w:rPr>
            </w:pPr>
            <w:r>
              <w:rPr>
                <w:rFonts w:ascii="Arial" w:cs="Arial" w:eastAsia="Arial" w:hAnsi="Arial"/>
                <w:sz w:val="18"/>
                <w:szCs w:val="18"/>
                <w:color w:val="auto"/>
                <w:w w:val="95"/>
              </w:rPr>
              <w:t>April 23, 2019</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6"/>
              </w:rPr>
              <w:t>Peter Gassner</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120" w:type="dxa"/>
            <w:vAlign w:val="bottom"/>
            <w:gridSpan w:val="4"/>
          </w:tcPr>
          <w:p>
            <w:pPr>
              <w:spacing w:after="0"/>
              <w:rPr>
                <w:sz w:val="20"/>
                <w:szCs w:val="20"/>
                <w:color w:val="auto"/>
              </w:rPr>
            </w:pPr>
            <w:r>
              <w:rPr>
                <w:rFonts w:ascii="Arial" w:cs="Arial" w:eastAsia="Arial" w:hAnsi="Arial"/>
                <w:sz w:val="18"/>
                <w:szCs w:val="18"/>
                <w:color w:val="auto"/>
              </w:rPr>
              <w:t>/s/ Kimberly L. Hammonds</w:t>
            </w:r>
          </w:p>
        </w:tc>
        <w:tc>
          <w:tcPr>
            <w:tcW w:w="4900" w:type="dxa"/>
            <w:vAlign w:val="bottom"/>
            <w:gridSpan w:val="3"/>
          </w:tcPr>
          <w:p>
            <w:pPr>
              <w:jc w:val="center"/>
              <w:ind w:left="131"/>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552"/>
              <w:spacing w:after="0"/>
              <w:rPr>
                <w:sz w:val="20"/>
                <w:szCs w:val="20"/>
                <w:color w:val="auto"/>
              </w:rPr>
            </w:pPr>
            <w:r>
              <w:rPr>
                <w:rFonts w:ascii="Arial" w:cs="Arial" w:eastAsia="Arial" w:hAnsi="Arial"/>
                <w:sz w:val="18"/>
                <w:szCs w:val="18"/>
                <w:color w:val="auto"/>
                <w:w w:val="95"/>
              </w:rPr>
              <w:t>April 23, 2019</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Kimberly L. Hammonds</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120" w:type="dxa"/>
            <w:vAlign w:val="bottom"/>
            <w:gridSpan w:val="4"/>
          </w:tcPr>
          <w:p>
            <w:pPr>
              <w:spacing w:after="0"/>
              <w:rPr>
                <w:sz w:val="20"/>
                <w:szCs w:val="20"/>
                <w:color w:val="auto"/>
              </w:rPr>
            </w:pPr>
            <w:r>
              <w:rPr>
                <w:rFonts w:ascii="Arial" w:cs="Arial" w:eastAsia="Arial" w:hAnsi="Arial"/>
                <w:sz w:val="18"/>
                <w:szCs w:val="18"/>
                <w:color w:val="auto"/>
              </w:rPr>
              <w:t>/s/ Dan Scheinman</w:t>
            </w:r>
          </w:p>
        </w:tc>
        <w:tc>
          <w:tcPr>
            <w:tcW w:w="4900" w:type="dxa"/>
            <w:vAlign w:val="bottom"/>
            <w:gridSpan w:val="3"/>
          </w:tcPr>
          <w:p>
            <w:pPr>
              <w:jc w:val="center"/>
              <w:ind w:left="131"/>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552"/>
              <w:spacing w:after="0"/>
              <w:rPr>
                <w:sz w:val="20"/>
                <w:szCs w:val="20"/>
                <w:color w:val="auto"/>
              </w:rPr>
            </w:pPr>
            <w:r>
              <w:rPr>
                <w:rFonts w:ascii="Arial" w:cs="Arial" w:eastAsia="Arial" w:hAnsi="Arial"/>
                <w:sz w:val="18"/>
                <w:szCs w:val="18"/>
                <w:color w:val="auto"/>
                <w:w w:val="95"/>
              </w:rPr>
              <w:t>April 23, 2019</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8"/>
              </w:rPr>
              <w:t>Dan Scheinman</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120" w:type="dxa"/>
            <w:vAlign w:val="bottom"/>
            <w:gridSpan w:val="4"/>
          </w:tcPr>
          <w:p>
            <w:pPr>
              <w:spacing w:after="0"/>
              <w:rPr>
                <w:sz w:val="20"/>
                <w:szCs w:val="20"/>
                <w:color w:val="auto"/>
              </w:rPr>
            </w:pPr>
            <w:r>
              <w:rPr>
                <w:rFonts w:ascii="Arial" w:cs="Arial" w:eastAsia="Arial" w:hAnsi="Arial"/>
                <w:sz w:val="18"/>
                <w:szCs w:val="18"/>
                <w:color w:val="auto"/>
              </w:rPr>
              <w:t>/s/ Santiago Subotovsky</w:t>
            </w:r>
          </w:p>
        </w:tc>
        <w:tc>
          <w:tcPr>
            <w:tcW w:w="4900" w:type="dxa"/>
            <w:vAlign w:val="bottom"/>
            <w:gridSpan w:val="3"/>
          </w:tcPr>
          <w:p>
            <w:pPr>
              <w:jc w:val="center"/>
              <w:ind w:left="131"/>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552"/>
              <w:spacing w:after="0"/>
              <w:rPr>
                <w:sz w:val="20"/>
                <w:szCs w:val="20"/>
                <w:color w:val="auto"/>
              </w:rPr>
            </w:pPr>
            <w:r>
              <w:rPr>
                <w:rFonts w:ascii="Arial" w:cs="Arial" w:eastAsia="Arial" w:hAnsi="Arial"/>
                <w:sz w:val="18"/>
                <w:szCs w:val="18"/>
                <w:color w:val="auto"/>
                <w:w w:val="95"/>
              </w:rPr>
              <w:t>April 23, 2019</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Santiago Subotovsky</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120" w:type="dxa"/>
            <w:vAlign w:val="bottom"/>
            <w:gridSpan w:val="4"/>
          </w:tcPr>
          <w:p>
            <w:pPr>
              <w:spacing w:after="0"/>
              <w:rPr>
                <w:sz w:val="20"/>
                <w:szCs w:val="20"/>
                <w:color w:val="auto"/>
              </w:rPr>
            </w:pPr>
            <w:r>
              <w:rPr>
                <w:rFonts w:ascii="Arial" w:cs="Arial" w:eastAsia="Arial" w:hAnsi="Arial"/>
                <w:sz w:val="18"/>
                <w:szCs w:val="18"/>
                <w:color w:val="auto"/>
              </w:rPr>
              <w:t>/s/ Bart Swanson</w:t>
            </w:r>
          </w:p>
        </w:tc>
        <w:tc>
          <w:tcPr>
            <w:tcW w:w="4900" w:type="dxa"/>
            <w:vAlign w:val="bottom"/>
            <w:gridSpan w:val="3"/>
          </w:tcPr>
          <w:p>
            <w:pPr>
              <w:jc w:val="center"/>
              <w:ind w:left="131"/>
              <w:spacing w:after="0"/>
              <w:rPr>
                <w:sz w:val="20"/>
                <w:szCs w:val="20"/>
                <w:color w:val="auto"/>
              </w:rPr>
            </w:pPr>
            <w:r>
              <w:rPr>
                <w:rFonts w:ascii="Arial" w:cs="Arial" w:eastAsia="Arial" w:hAnsi="Arial"/>
                <w:sz w:val="18"/>
                <w:szCs w:val="18"/>
                <w:color w:val="auto"/>
                <w:w w:val="95"/>
              </w:rPr>
              <w:t>Director</w:t>
            </w:r>
          </w:p>
        </w:tc>
        <w:tc>
          <w:tcPr>
            <w:tcW w:w="1700" w:type="dxa"/>
            <w:vAlign w:val="bottom"/>
            <w:gridSpan w:val="3"/>
          </w:tcPr>
          <w:p>
            <w:pPr>
              <w:jc w:val="center"/>
              <w:ind w:left="552"/>
              <w:spacing w:after="0"/>
              <w:rPr>
                <w:sz w:val="20"/>
                <w:szCs w:val="20"/>
                <w:color w:val="auto"/>
              </w:rPr>
            </w:pPr>
            <w:r>
              <w:rPr>
                <w:rFonts w:ascii="Arial" w:cs="Arial" w:eastAsia="Arial" w:hAnsi="Arial"/>
                <w:sz w:val="18"/>
                <w:szCs w:val="18"/>
                <w:color w:val="auto"/>
                <w:w w:val="95"/>
              </w:rPr>
              <w:t>April 23, 2019</w:t>
            </w:r>
          </w:p>
        </w:tc>
      </w:tr>
      <w:tr>
        <w:trPr>
          <w:trHeight w:val="224"/>
        </w:trPr>
        <w:tc>
          <w:tcPr>
            <w:tcW w:w="20" w:type="dxa"/>
            <w:vAlign w:val="bottom"/>
          </w:tcPr>
          <w:p>
            <w:pPr>
              <w:spacing w:after="0"/>
              <w:rPr>
                <w:sz w:val="19"/>
                <w:szCs w:val="19"/>
                <w:color w:val="auto"/>
              </w:rPr>
            </w:pPr>
          </w:p>
        </w:tc>
        <w:tc>
          <w:tcPr>
            <w:tcW w:w="410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Bart Swanson</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bl>
    <w:p>
      <w:pPr>
        <w:sectPr>
          <w:pgSz w:w="11900" w:h="16838" w:orient="portrait"/>
          <w:cols w:equalWidth="0" w:num="1">
            <w:col w:w="10960"/>
          </w:cols>
          <w:pgMar w:left="440" w:top="270" w:right="4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1166495" cy="377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16649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Calise Y. Cheng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+1 650 843 5172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ccheng@cooley.com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23,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Zoom Video Communications,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55 Almaden Boulevard, 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San Jose, CA 95113</w:t>
      </w:r>
    </w:p>
    <w:p>
      <w:pPr>
        <w:spacing w:after="0" w:line="2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Registration on Form S-8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have acted as counsel to Zoom Video Communications,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you have requested our opinion in connection with the filing of a registration statement on Form S-8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with the Securities and Exchange Commission covering the offering of up to (a) 22,992,078 shares of Class B common stock, par value $0.001 per share (the “</w:t>
      </w:r>
      <w:r>
        <w:rPr>
          <w:rFonts w:ascii="Arial" w:cs="Arial" w:eastAsia="Arial" w:hAnsi="Arial"/>
          <w:sz w:val="17"/>
          <w:szCs w:val="17"/>
          <w:b w:val="1"/>
          <w:bCs w:val="1"/>
          <w:i w:val="1"/>
          <w:iCs w:val="1"/>
          <w:color w:val="auto"/>
        </w:rPr>
        <w:t>2011 Plan Class B Shares</w:t>
      </w:r>
      <w:r>
        <w:rPr>
          <w:rFonts w:ascii="Arial" w:cs="Arial" w:eastAsia="Arial" w:hAnsi="Arial"/>
          <w:sz w:val="17"/>
          <w:szCs w:val="17"/>
          <w:color w:val="auto"/>
        </w:rPr>
        <w:t>”), issuable pursuant to the Company’s Fourth Amended and Restated 2011 Global Share Plan (the “</w:t>
      </w:r>
      <w:r>
        <w:rPr>
          <w:rFonts w:ascii="Arial" w:cs="Arial" w:eastAsia="Arial" w:hAnsi="Arial"/>
          <w:sz w:val="17"/>
          <w:szCs w:val="17"/>
          <w:b w:val="1"/>
          <w:bCs w:val="1"/>
          <w:i w:val="1"/>
          <w:iCs w:val="1"/>
          <w:color w:val="auto"/>
        </w:rPr>
        <w:t>2011 Plan</w:t>
      </w:r>
      <w:r>
        <w:rPr>
          <w:rFonts w:ascii="Arial" w:cs="Arial" w:eastAsia="Arial" w:hAnsi="Arial"/>
          <w:sz w:val="17"/>
          <w:szCs w:val="17"/>
          <w:color w:val="auto"/>
        </w:rPr>
        <w:t>”), and (b) 90,292,967 shares of Class A common stock, par value $0.001 per share, consisting of (i) 22,992,078 shares of Class A common stock (the “</w:t>
      </w:r>
      <w:r>
        <w:rPr>
          <w:rFonts w:ascii="Arial" w:cs="Arial" w:eastAsia="Arial" w:hAnsi="Arial"/>
          <w:sz w:val="17"/>
          <w:szCs w:val="17"/>
          <w:b w:val="1"/>
          <w:bCs w:val="1"/>
          <w:i w:val="1"/>
          <w:iCs w:val="1"/>
          <w:color w:val="auto"/>
        </w:rPr>
        <w:t>2011 Plan Class A Shares</w:t>
      </w:r>
      <w:r>
        <w:rPr>
          <w:rFonts w:ascii="Arial" w:cs="Arial" w:eastAsia="Arial" w:hAnsi="Arial"/>
          <w:sz w:val="17"/>
          <w:szCs w:val="17"/>
          <w:color w:val="auto"/>
        </w:rPr>
        <w:t>”) issuable pursuant to the 2011 Plan, (ii) 58,300,889 shares of Class A common stock (the “</w:t>
      </w:r>
      <w:r>
        <w:rPr>
          <w:rFonts w:ascii="Arial" w:cs="Arial" w:eastAsia="Arial" w:hAnsi="Arial"/>
          <w:sz w:val="17"/>
          <w:szCs w:val="17"/>
          <w:b w:val="1"/>
          <w:bCs w:val="1"/>
          <w:i w:val="1"/>
          <w:iCs w:val="1"/>
          <w:color w:val="auto"/>
        </w:rPr>
        <w:t>2019 EIP Shares</w:t>
      </w:r>
      <w:r>
        <w:rPr>
          <w:rFonts w:ascii="Arial" w:cs="Arial" w:eastAsia="Arial" w:hAnsi="Arial"/>
          <w:sz w:val="17"/>
          <w:szCs w:val="17"/>
          <w:color w:val="auto"/>
        </w:rPr>
        <w:t>”) issuable pursuant to the Company’s 2019 Equity Incentive Plan (the “</w:t>
      </w:r>
      <w:r>
        <w:rPr>
          <w:rFonts w:ascii="Arial" w:cs="Arial" w:eastAsia="Arial" w:hAnsi="Arial"/>
          <w:sz w:val="17"/>
          <w:szCs w:val="17"/>
          <w:b w:val="1"/>
          <w:bCs w:val="1"/>
          <w:i w:val="1"/>
          <w:iCs w:val="1"/>
          <w:color w:val="auto"/>
        </w:rPr>
        <w:t>2019 EIP</w:t>
      </w:r>
      <w:r>
        <w:rPr>
          <w:rFonts w:ascii="Arial" w:cs="Arial" w:eastAsia="Arial" w:hAnsi="Arial"/>
          <w:sz w:val="17"/>
          <w:szCs w:val="17"/>
          <w:color w:val="auto"/>
        </w:rPr>
        <w:t>”), and (iii) 9,000,000 shares of Class A common stock (together with the 2011 Plan Class B Shares, the 2011 Plan Class A Shares and the 2019 EIP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issuable pursuant to the Company’s 2019 Employee Stock Purchase Plan (together with the Company’s 2011 Plan and 2019 EIP, the “</w:t>
      </w:r>
      <w:r>
        <w:rPr>
          <w:rFonts w:ascii="Arial" w:cs="Arial" w:eastAsia="Arial" w:hAnsi="Arial"/>
          <w:sz w:val="17"/>
          <w:szCs w:val="17"/>
          <w:b w:val="1"/>
          <w:bCs w:val="1"/>
          <w:i w:val="1"/>
          <w:iCs w:val="1"/>
          <w:color w:val="auto"/>
        </w:rPr>
        <w:t>Plans</w:t>
      </w:r>
      <w:r>
        <w:rPr>
          <w:rFonts w:ascii="Arial" w:cs="Arial" w:eastAsia="Arial" w:hAnsi="Arial"/>
          <w:sz w:val="17"/>
          <w:szCs w:val="17"/>
          <w:color w:val="auto"/>
        </w:rPr>
        <w:t>”).</w:t>
      </w:r>
    </w:p>
    <w:p>
      <w:pPr>
        <w:spacing w:after="0" w:line="18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connection with this opinion, we have examined and relied upon (a) the Registration Statement and related Prospectuses included therein, (b) the Company’s Amended and Restated Certificate of Incorporation and Amended and Restated Bylaws, as currently in effect, (c) the Plans and (d) such other records, documents, certificates, memoranda, and other instruments as we deem necessary or appropriate to enable us to render the opinion expressed below. As to certain factual matters, we have relied upon a certificate of an officer of the Company and have not sought independently to verify such matters. We have assumed the genuineness and authenticity of all documents submitted to us as originals and the conformity to originals of all documents submitted to us as copies thereof, and we have assumed the due execution and delivery of all documents where due execution and delivery are prerequisite to the effectiveness thereof.</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1"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On the basis of the foregoing, and in reliance thereon, we are of the opinion that the Shares, when sold and issued in accordance with the Plans, the Registration Statement and related Prospectuses, will be validly issued, fully paid, and nonassessable (except as to shares issued pursuant to certain deferred payment arrangements, which will be fully paid and nonassessable when such deferred payments are made in full).</w:t>
      </w:r>
    </w:p>
    <w:p>
      <w:pPr>
        <w:sectPr>
          <w:pgSz w:w="11900" w:h="16838" w:orient="portrait"/>
          <w:cols w:equalWidth="0" w:num="1">
            <w:col w:w="11020"/>
          </w:cols>
          <w:pgMar w:left="440" w:top="121" w:right="4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166495" cy="377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166495" cy="377190"/>
                    </a:xfrm>
                    <a:prstGeom prst="rect">
                      <a:avLst/>
                    </a:prstGeom>
                    <a:noFill/>
                  </pic:spPr>
                </pic:pic>
              </a:graphicData>
            </a:graphic>
          </wp:anchor>
        </w:drawing>
        <w:t>We consent to the filing of this opinion as an exhibit to the Registration Statement.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OOLEY</w:t>
      </w:r>
      <w:r>
        <w:rPr>
          <w:rFonts w:ascii="Arial" w:cs="Arial" w:eastAsia="Arial" w:hAnsi="Arial"/>
          <w:sz w:val="18"/>
          <w:szCs w:val="18"/>
          <w:b w:val="1"/>
          <w:bCs w:val="1"/>
          <w:color w:val="auto"/>
        </w:rPr>
        <w:t xml:space="preserve"> LLP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/s/ Calise Y. Cheng</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Calise Y. 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ectPr>
          <w:pgSz w:w="11900" w:h="16838" w:orient="portrait"/>
          <w:cols w:equalWidth="0" w:num="1">
            <w:col w:w="10019"/>
          </w:cols>
          <w:pgMar w:left="440" w:top="1111"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Zoom Video Communications,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dated March 22, 2019 incorporated by reference herein.</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23, 2019</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
    <w:nsid w:val="238E1F29"/>
    <w:multiLevelType w:val="hybridMultilevel"/>
    <w:lvl w:ilvl="0">
      <w:lvlJc w:val="left"/>
      <w:lvlText w:val="%1"/>
      <w:numFmt w:val="decimal"/>
      <w:start w:val="1"/>
    </w:lvl>
    <w:lvl w:ilvl="1">
      <w:lvlJc w:val="left"/>
      <w:lvlText w:val="(%2)"/>
      <w:numFmt w:val="lowerLetter"/>
      <w:start w:val="2"/>
    </w:lvl>
  </w:abstractNum>
  <w:abstractNum w:abstractNumId="4">
    <w:nsid w:val="46E87CCD"/>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jpeg"/><Relationship Id="rId31" Type="http://schemas.openxmlformats.org/officeDocument/2006/relationships/image" Target="media/image20.png"/><Relationship Id="rId32" Type="http://schemas.openxmlformats.org/officeDocument/2006/relationships/image" Target="media/image21.jpeg"/><Relationship Id="rId33" Type="http://schemas.openxmlformats.org/officeDocument/2006/relationships/image" Target="media/image22.png"/><Relationship Id="rId20" Type="http://schemas.openxmlformats.org/officeDocument/2006/relationships/hyperlink" Target="http://www.sec.gov/Archives/edgar/data/1585521/000119312519099813/d642624dex41.htm" TargetMode="External"/><Relationship Id="rId21" Type="http://schemas.openxmlformats.org/officeDocument/2006/relationships/hyperlink" Target="http://www.sec.gov/Archives/edgar/data/1585521/000119312519083351/d642624dex101.htm" TargetMode="External"/><Relationship Id="rId22" Type="http://schemas.openxmlformats.org/officeDocument/2006/relationships/hyperlink" Target="http://www.sec.gov/Archives/edgar/data/1585521/000119312519099813/d642624dex102.htm" TargetMode="External"/><Relationship Id="rId23" Type="http://schemas.openxmlformats.org/officeDocument/2006/relationships/hyperlink" Target="http://www.sec.gov/Archives/edgar/data/1585521/000119312519099813/d642624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2019-12-03T06:56:30Z</dcterms:created>
  <dcterms:modified xsi:type="dcterms:W3CDTF">2019-12-03T06:56:30Z</dcterms:modified>
</cp:coreProperties>
</file>