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45427d1_sc13ga.htm"/>
      <w:bookmarkStart w:id="1" w:name="kstm245427d1_sc13g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Under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Global Business Travel Group, Inc.</w:t>
      </w:r>
      <w:r>
        <w:rPr>
          <w:rFonts w:ascii="Times New Roman;Times;Serif" w:hAnsi="Times New Roman;Times;Serif"/>
          <w:b w:val="false"/>
          <w:i w:val="false"/>
          <w:caps w:val="false"/>
          <w:smallCaps w:val="false"/>
          <w:sz w:val="36"/>
        </w:rPr>
        <w:t> </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Common stock, $0.0001 par value per share</w:t>
      </w:r>
      <w:r>
        <w:rPr>
          <w:rFonts w:ascii="Times New Roman;Times;Serif" w:hAnsi="Times New Roman;Times;Serif"/>
          <w:b w:val="false"/>
          <w:i w:val="false"/>
          <w:caps w:val="false"/>
          <w:smallCaps w:val="false"/>
          <w:sz w:val="20"/>
        </w:rPr>
        <w:t> </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37890B 10 0</w:t>
      </w:r>
      <w:r>
        <w:rPr>
          <w:rFonts w:ascii="Times New Roman;Times;Serif" w:hAnsi="Times New Roman;Times;Serif"/>
          <w:b w:val="false"/>
          <w:i w:val="false"/>
          <w:caps w:val="false"/>
          <w:smallCaps w:val="false"/>
          <w:sz w:val="20"/>
        </w:rPr>
        <w:t> </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 2023</w:t>
      </w:r>
      <w:r>
        <w:rPr>
          <w:rFonts w:ascii="Times New Roman;Times;Serif" w:hAnsi="Times New Roman;Times;Serif"/>
          <w:b w:val="false"/>
          <w:i w:val="false"/>
          <w:caps w:val="false"/>
          <w:smallCaps w:val="false"/>
          <w:sz w:val="20"/>
        </w:rPr>
        <w:t> </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283"/>
              <w:jc w:val="center"/>
              <w:rPr>
                <w:color w:val="000000"/>
              </w:rPr>
            </w:pPr>
            <w:r>
              <w:rPr>
                <w:color w:val="000000"/>
              </w:rPr>
              <w:t>☐</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13d-1(b)</w:t>
            </w:r>
          </w:p>
        </w:tc>
      </w:tr>
      <w:tr>
        <w:trPr/>
        <w:tc>
          <w:tcPr>
            <w:tcW w:w="245" w:type="dxa"/>
            <w:tcBorders/>
            <w:vAlign w:val="center"/>
          </w:tcPr>
          <w:p>
            <w:pPr>
              <w:pStyle w:val="TableContents"/>
              <w:bidi w:val="0"/>
              <w:spacing w:before="0" w:after="283"/>
              <w:jc w:val="center"/>
              <w:rPr>
                <w:color w:val="000000"/>
              </w:rPr>
            </w:pPr>
            <w:r>
              <w:rPr>
                <w:color w:val="000000"/>
              </w:rPr>
              <w:t>☒</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13d-1(c)</w:t>
            </w:r>
          </w:p>
        </w:tc>
      </w:tr>
      <w:tr>
        <w:trPr/>
        <w:tc>
          <w:tcPr>
            <w:tcW w:w="245" w:type="dxa"/>
            <w:tcBorders/>
            <w:vAlign w:val="center"/>
          </w:tcPr>
          <w:p>
            <w:pPr>
              <w:pStyle w:val="TableContents"/>
              <w:bidi w:val="0"/>
              <w:spacing w:before="0" w:after="283"/>
              <w:jc w:val="center"/>
              <w:rPr>
                <w:color w:val="000000"/>
              </w:rPr>
            </w:pPr>
            <w:r>
              <w:rPr>
                <w:color w:val="000000"/>
              </w:rPr>
              <w:t>☐</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23" w:type="dxa"/>
        <w:jc w:val="left"/>
        <w:tblInd w:w="0" w:type="dxa"/>
        <w:tblLayout w:type="fixed"/>
        <w:tblCellMar>
          <w:top w:w="0" w:type="dxa"/>
          <w:left w:w="0" w:type="dxa"/>
          <w:bottom w:w="43" w:type="dxa"/>
          <w:right w:w="0" w:type="dxa"/>
        </w:tblCellMar>
      </w:tblPr>
      <w:tblGrid>
        <w:gridCol w:w="520"/>
        <w:gridCol w:w="699"/>
        <w:gridCol w:w="483"/>
        <w:gridCol w:w="6021"/>
      </w:tblGrid>
      <w:tr>
        <w:trPr/>
        <w:tc>
          <w:tcPr>
            <w:tcW w:w="7723" w:type="dxa"/>
            <w:gridSpan w:val="4"/>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No. 37890B 10 0</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03" w:type="dxa"/>
            <w:gridSpan w:val="3"/>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Zoom Video Communications, Inc.</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203"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 if a Member of a Group (See Instructions)</w:t>
            </w:r>
          </w:p>
        </w:tc>
      </w:tr>
      <w:tr>
        <w:trPr/>
        <w:tc>
          <w:tcPr>
            <w:tcW w:w="520" w:type="dxa"/>
            <w:tcBorders/>
            <w:tcMar>
              <w:bottom w:w="0" w:type="dxa"/>
            </w:tcMar>
            <w:vAlign w:val="center"/>
          </w:tcPr>
          <w:p>
            <w:pPr>
              <w:pStyle w:val="TableContents"/>
              <w:bidi w:val="0"/>
              <w:spacing w:before="0" w:after="283"/>
              <w:jc w:val="left"/>
              <w:rPr/>
            </w:pPr>
            <w:r>
              <w:rPr/>
              <w:t> </w:t>
            </w:r>
          </w:p>
        </w:tc>
        <w:tc>
          <w:tcPr>
            <w:tcW w:w="699"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4" w:type="dxa"/>
            <w:gridSpan w:val="2"/>
            <w:tcBorders>
              <w:bottom w:val="single" w:sz="8" w:space="0" w:color="000000"/>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color w:val="000000"/>
              </w:rPr>
            </w:pPr>
            <w:r>
              <w:rPr>
                <w:caps w:val="false"/>
                <w:smallCaps w:val="false"/>
                <w:color w:val="000000"/>
              </w:rPr>
              <w:t>☐</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3.</w:t>
            </w:r>
          </w:p>
        </w:tc>
        <w:tc>
          <w:tcPr>
            <w:tcW w:w="7203" w:type="dxa"/>
            <w:gridSpan w:val="3"/>
            <w:tcBorders>
              <w:bottom w:val="single" w:sz="8" w:space="0" w:color="000000"/>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SEC Use Only</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4.</w:t>
            </w:r>
          </w:p>
        </w:tc>
        <w:tc>
          <w:tcPr>
            <w:tcW w:w="7203" w:type="dxa"/>
            <w:gridSpan w:val="3"/>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219" w:type="dxa"/>
            <w:gridSpan w:val="2"/>
            <w:vMerge w:val="restart"/>
            <w:tcBorders/>
            <w:tcMar>
              <w:bottom w:w="0" w:type="dxa"/>
            </w:tcMar>
            <w:vAlign w:val="center"/>
          </w:tcPr>
          <w:p>
            <w:pPr>
              <w:pStyle w:val="TableContents"/>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tc>
        <w:tc>
          <w:tcPr>
            <w:tcW w:w="48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2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r>
      <w:tr>
        <w:trPr/>
        <w:tc>
          <w:tcPr>
            <w:tcW w:w="1219" w:type="dxa"/>
            <w:gridSpan w:val="2"/>
            <w:vMerge w:val="continue"/>
            <w:tcBorders/>
            <w:tcMar>
              <w:bottom w:w="0" w:type="dxa"/>
            </w:tcMar>
            <w:vAlign w:val="center"/>
          </w:tcPr>
          <w:p>
            <w:pPr>
              <w:pStyle w:val="Normal"/>
              <w:bidi w:val="0"/>
              <w:jc w:val="left"/>
              <w:rPr/>
            </w:pPr>
            <w:r>
              <w:rPr/>
            </w:r>
          </w:p>
        </w:tc>
        <w:tc>
          <w:tcPr>
            <w:tcW w:w="48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21"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Voting Power</w:t>
            </w:r>
          </w:p>
        </w:tc>
      </w:tr>
      <w:tr>
        <w:trPr/>
        <w:tc>
          <w:tcPr>
            <w:tcW w:w="1219" w:type="dxa"/>
            <w:gridSpan w:val="2"/>
            <w:vMerge w:val="continue"/>
            <w:tcBorders/>
            <w:tcMar>
              <w:bottom w:w="0" w:type="dxa"/>
            </w:tcMar>
            <w:vAlign w:val="center"/>
          </w:tcPr>
          <w:p>
            <w:pPr>
              <w:pStyle w:val="Normal"/>
              <w:bidi w:val="0"/>
              <w:jc w:val="left"/>
              <w:rPr/>
            </w:pPr>
            <w:r>
              <w:rPr/>
            </w:r>
          </w:p>
        </w:tc>
        <w:tc>
          <w:tcPr>
            <w:tcW w:w="48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2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r>
      <w:tr>
        <w:trPr/>
        <w:tc>
          <w:tcPr>
            <w:tcW w:w="1219" w:type="dxa"/>
            <w:gridSpan w:val="2"/>
            <w:vMerge w:val="continue"/>
            <w:tcBorders/>
            <w:tcMar>
              <w:bottom w:w="0" w:type="dxa"/>
            </w:tcMar>
            <w:vAlign w:val="center"/>
          </w:tcPr>
          <w:p>
            <w:pPr>
              <w:pStyle w:val="Normal"/>
              <w:bidi w:val="0"/>
              <w:jc w:val="left"/>
              <w:rPr/>
            </w:pPr>
            <w:r>
              <w:rPr/>
            </w:r>
          </w:p>
        </w:tc>
        <w:tc>
          <w:tcPr>
            <w:tcW w:w="48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21"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Dispositive Power</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7203" w:type="dxa"/>
            <w:gridSpan w:val="3"/>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7203" w:type="dxa"/>
            <w:gridSpan w:val="3"/>
            <w:tcBorders>
              <w:bottom w:val="single" w:sz="8" w:space="0" w:color="000000"/>
            </w:tcBorders>
            <w:vAlign w:val="center"/>
          </w:tcPr>
          <w:p>
            <w:pPr>
              <w:pStyle w:val="TableContents"/>
              <w:bidi w:val="0"/>
              <w:spacing w:before="0" w:after="283"/>
              <w:jc w:val="left"/>
              <w:rPr>
                <w:sz w:val="20"/>
              </w:rPr>
            </w:pPr>
            <w:r>
              <w:rPr>
                <w:rFonts w:ascii="Times New Roman;Times;Serif" w:hAnsi="Times New Roman;Times;Serif"/>
                <w:sz w:val="20"/>
              </w:rPr>
              <w:t xml:space="preserve">Check if the Aggregate Amount in Row (9) Excludes Certain Shares (See Instructions) </w:t>
            </w:r>
            <w:r>
              <w:rPr>
                <w:sz w:val="20"/>
              </w:rPr>
              <w:t>☐</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203" w:type="dxa"/>
            <w:gridSpan w:val="3"/>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 (1)</w:t>
            </w:r>
          </w:p>
        </w:tc>
      </w:tr>
      <w:tr>
        <w:trPr/>
        <w:tc>
          <w:tcPr>
            <w:tcW w:w="5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7203" w:type="dxa"/>
            <w:gridSpan w:val="3"/>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percentage is based on a total of 467,022,817 shares of Class A Common Stock outstanding as of November 3, 2023, as reported in the Issuer’s Quarterly Report on Form 10-Q for the quarter ended September 30, 2023, filed with the Securities and Exchange Commission on November 7, 2023.</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
        <w:gridCol w:w="489"/>
        <w:gridCol w:w="663"/>
        <w:gridCol w:w="8326"/>
      </w:tblGrid>
      <w:tr>
        <w:trPr/>
        <w:tc>
          <w:tcPr>
            <w:tcW w:w="10205"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r>
      <w:tr>
        <w:trPr/>
        <w:tc>
          <w:tcPr>
            <w:tcW w:w="10205" w:type="dxa"/>
            <w:gridSpan w:val="4"/>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Business Travel Group, Inc.</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Issuer’s Principal Executive Offices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 3rd Avenue, 4th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tc>
      </w:tr>
      <w:tr>
        <w:trPr/>
        <w:tc>
          <w:tcPr>
            <w:tcW w:w="10205" w:type="dxa"/>
            <w:gridSpan w:val="4"/>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r>
      <w:tr>
        <w:trPr/>
        <w:tc>
          <w:tcPr>
            <w:tcW w:w="10205" w:type="dxa"/>
            <w:gridSpan w:val="4"/>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 Filing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Zoom Video Communications, Inc.</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Business Office or, if none, Residence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Almaden Boulevard, 6th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California 95113</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$0.0001 par value</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37890B 10 0</w:t>
            </w:r>
          </w:p>
        </w:tc>
      </w:tr>
      <w:tr>
        <w:trPr/>
        <w:tc>
          <w:tcPr>
            <w:tcW w:w="10205" w:type="dxa"/>
            <w:gridSpan w:val="4"/>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947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this statement is filed pursuant to §§240.13d-1(b) or 240.13d-2(b) or (c), check whether the person filing is a:</w:t>
            </w:r>
          </w:p>
        </w:tc>
      </w:tr>
      <w:tr>
        <w:trPr/>
        <w:tc>
          <w:tcPr>
            <w:tcW w:w="727" w:type="dxa"/>
            <w:tcBorders/>
            <w:vAlign w:val="center"/>
          </w:tcPr>
          <w:p>
            <w:pPr>
              <w:pStyle w:val="TableContents"/>
              <w:bidi w:val="0"/>
              <w:spacing w:before="0" w:after="283"/>
              <w:jc w:val="left"/>
              <w:rPr/>
            </w:pPr>
            <w:r>
              <w:rPr/>
              <w:t> </w:t>
            </w:r>
          </w:p>
        </w:tc>
        <w:tc>
          <w:tcPr>
            <w:tcW w:w="9478" w:type="dxa"/>
            <w:gridSpan w:val="3"/>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pPr>
            <w:r>
              <w:rPr/>
              <w:t> </w:t>
            </w:r>
          </w:p>
        </w:tc>
        <w:tc>
          <w:tcPr>
            <w:tcW w:w="947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10205" w:type="dxa"/>
            <w:gridSpan w:val="4"/>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947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w:t>
            </w:r>
          </w:p>
        </w:tc>
      </w:tr>
      <w:tr>
        <w:trPr/>
        <w:tc>
          <w:tcPr>
            <w:tcW w:w="727" w:type="dxa"/>
            <w:tcBorders/>
            <w:vAlign w:val="center"/>
          </w:tcPr>
          <w:p>
            <w:pPr>
              <w:pStyle w:val="TableContents"/>
              <w:bidi w:val="0"/>
              <w:spacing w:before="0" w:after="283"/>
              <w:jc w:val="left"/>
              <w:rPr/>
            </w:pPr>
            <w:r>
              <w:rPr/>
              <w:t> </w:t>
            </w:r>
          </w:p>
        </w:tc>
        <w:tc>
          <w:tcPr>
            <w:tcW w:w="9478" w:type="dxa"/>
            <w:gridSpan w:val="3"/>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following information regarding the aggregate number and percentage of the class of securities of the issuer identified in Item 1 is provided as of December 31, 2023:</w:t>
            </w:r>
          </w:p>
        </w:tc>
      </w:tr>
      <w:tr>
        <w:trPr/>
        <w:tc>
          <w:tcPr>
            <w:tcW w:w="10205" w:type="dxa"/>
            <w:gridSpan w:val="4"/>
            <w:tcBorders/>
            <w:vAlign w:val="center"/>
          </w:tcPr>
          <w:p>
            <w:pPr>
              <w:pStyle w:val="TableContents"/>
              <w:bidi w:val="0"/>
              <w:spacing w:before="0" w:after="283"/>
              <w:jc w:val="left"/>
              <w:rPr/>
            </w:pPr>
            <w:r>
              <w:rPr/>
              <w:t> </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beneficially owned: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989"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as to which the person has:</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32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power to vote or to direct the vote: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32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power to vote or to direct the vote: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32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power to dispose or to direct the disposition of:</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r>
      <w:tr>
        <w:trPr/>
        <w:tc>
          <w:tcPr>
            <w:tcW w:w="727"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32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power to dispose or to direct the disposition of:</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97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 of Five Percent or Less of a Class</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rFonts w:ascii="Times New Roman;Times;Serif" w:hAnsi="Times New Roman;Times;Serif"/>
                <w:sz w:val="20"/>
              </w:rPr>
              <w:t xml:space="preserve">If this statement is being filed to report the fact that as of the date hereof the reporting person has ceased to be the beneficial owner of more than five percent of the class of securities, check the following </w:t>
            </w:r>
            <w:r>
              <w:rPr/>
              <w:t>⌧</w:t>
            </w:r>
          </w:p>
        </w:tc>
      </w:tr>
      <w:tr>
        <w:trPr/>
        <w:tc>
          <w:tcPr>
            <w:tcW w:w="10205" w:type="dxa"/>
            <w:gridSpan w:val="2"/>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97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 of More than Five Percent on Behalf of Another Person</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10205" w:type="dxa"/>
            <w:gridSpan w:val="2"/>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97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Identification and Classification of the Subsidiary Which Acquired the Security Being Reported on By the Parent Holding Company or Control Person</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10205" w:type="dxa"/>
            <w:gridSpan w:val="2"/>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97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Identification and Classification of Members of the Group</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10205" w:type="dxa"/>
            <w:gridSpan w:val="2"/>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w:t>
            </w:r>
          </w:p>
        </w:tc>
        <w:tc>
          <w:tcPr>
            <w:tcW w:w="97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Dissolution of Group</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10205" w:type="dxa"/>
            <w:gridSpan w:val="2"/>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w:t>
            </w:r>
          </w:p>
        </w:tc>
        <w:tc>
          <w:tcPr>
            <w:tcW w:w="97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Certification</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97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Zoom Video Communications, Inc.</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335"/>
        <w:gridCol w:w="237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Kelly Steckelberg</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Kelly Steckelberg</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59" w:type="dxa"/>
        <w:jc w:val="left"/>
        <w:tblInd w:w="0" w:type="dxa"/>
        <w:tblLayout w:type="fixed"/>
        <w:tblCellMar>
          <w:top w:w="0" w:type="dxa"/>
          <w:left w:w="0" w:type="dxa"/>
          <w:bottom w:w="28" w:type="dxa"/>
          <w:right w:w="0" w:type="dxa"/>
        </w:tblCellMar>
      </w:tblPr>
      <w:tblGrid>
        <w:gridCol w:w="501"/>
        <w:gridCol w:w="7957"/>
        <w:gridCol w:w="501"/>
      </w:tblGrid>
      <w:tr>
        <w:trPr/>
        <w:tc>
          <w:tcPr>
            <w:tcW w:w="501" w:type="dxa"/>
            <w:tcBorders>
              <w:bottom w:val="single" w:sz="8" w:space="0" w:color="000000"/>
            </w:tcBorders>
            <w:vAlign w:val="center"/>
          </w:tcPr>
          <w:p>
            <w:pPr>
              <w:pStyle w:val="TableContents"/>
              <w:bidi w:val="0"/>
              <w:spacing w:before="0" w:after="283"/>
              <w:jc w:val="center"/>
              <w:rPr/>
            </w:pPr>
            <w:r>
              <w:rPr/>
              <w:t> </w:t>
            </w:r>
          </w:p>
        </w:tc>
        <w:tc>
          <w:tcPr>
            <w:tcW w:w="795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ATTENTION</w:t>
            </w:r>
          </w:p>
        </w:tc>
        <w:tc>
          <w:tcPr>
            <w:tcW w:w="501" w:type="dxa"/>
            <w:tcBorders>
              <w:bottom w:val="single" w:sz="8" w:space="0" w:color="000000"/>
            </w:tcBorders>
            <w:vAlign w:val="center"/>
          </w:tcPr>
          <w:p>
            <w:pPr>
              <w:pStyle w:val="TableContents"/>
              <w:bidi w:val="0"/>
              <w:spacing w:before="0" w:after="283"/>
              <w:jc w:val="center"/>
              <w:rPr/>
            </w:pPr>
            <w:r>
              <w:rPr/>
              <w:t> </w:t>
            </w:r>
          </w:p>
        </w:tc>
      </w:tr>
      <w:tr>
        <w:trPr/>
        <w:tc>
          <w:tcPr>
            <w:tcW w:w="8959"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Intentional misstatements or omissions of fact constitute Federal Criminal Violations (See 18 U.S.C. 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812</Words>
  <Characters>4030</Characters>
  <CharactersWithSpaces>4808</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