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35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w:t>
      </w:r>
    </w:p>
    <w:p>
      <w:pPr>
        <w:spacing w:after="0" w:line="32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7" w:lineRule="exact"/>
        <w:rPr>
          <w:sz w:val="24"/>
          <w:szCs w:val="24"/>
          <w:color w:val="auto"/>
        </w:rPr>
      </w:pP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35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w:t>
      </w: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Zoom Video Communications, Inc.</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March 3, 2021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3720"/>
        <w:spacing w:after="0"/>
        <w:rPr>
          <w:sz w:val="20"/>
          <w:szCs w:val="20"/>
          <w:color w:val="auto"/>
        </w:rPr>
      </w:pPr>
      <w:r>
        <w:rPr>
          <w:rFonts w:ascii="Arial" w:cs="Arial" w:eastAsia="Arial" w:hAnsi="Arial"/>
          <w:sz w:val="14"/>
          <w:szCs w:val="14"/>
          <w:b w:val="1"/>
          <w:bCs w:val="1"/>
          <w:color w:val="auto"/>
        </w:rPr>
        <w:t>_____________________________________________________</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33" w:lineRule="exact"/>
        <w:rPr>
          <w:sz w:val="24"/>
          <w:szCs w:val="24"/>
          <w:color w:val="auto"/>
        </w:rPr>
      </w:pPr>
    </w:p>
    <w:p>
      <w:pPr>
        <w:ind w:left="1180" w:hanging="200"/>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80" w:hanging="200"/>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333" w:lineRule="exact"/>
        <w:rPr>
          <w:sz w:val="24"/>
          <w:szCs w:val="24"/>
          <w:color w:val="auto"/>
        </w:rPr>
      </w:pPr>
    </w:p>
    <w:p>
      <w:pPr>
        <w:ind w:left="1180" w:hanging="200"/>
        <w:spacing w:after="0"/>
        <w:tabs>
          <w:tab w:leader="none" w:pos="118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06" w:lineRule="exact"/>
        <w:rPr>
          <w:rFonts w:ascii="MS PGothic" w:cs="MS PGothic" w:eastAsia="MS PGothic" w:hAnsi="MS PGothic"/>
          <w:sz w:val="18"/>
          <w:szCs w:val="18"/>
          <w:color w:val="auto"/>
        </w:rPr>
      </w:pPr>
    </w:p>
    <w:p>
      <w:pPr>
        <w:ind w:left="680" w:hanging="648"/>
        <w:spacing w:after="0" w:line="25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1205" w:right="379" w:bottom="1440" w:gutter="0" w:footer="0" w:header="0"/>
        </w:sectPr>
      </w:pPr>
    </w:p>
    <w:bookmarkStart w:id="1" w:name="page2"/>
    <w:bookmarkEnd w:id="1"/>
    <w:p>
      <w:pPr>
        <w:ind w:left="12"/>
        <w:spacing w:after="0"/>
        <w:tabs>
          <w:tab w:leader="none" w:pos="4932" w:val="left"/>
          <w:tab w:leader="none" w:pos="9972" w:val="left"/>
        </w:tabs>
        <w:rPr>
          <w:sz w:val="20"/>
          <w:szCs w:val="20"/>
          <w:color w:val="auto"/>
        </w:rPr>
      </w:pPr>
      <w:r>
        <w:rPr>
          <w:rFonts w:ascii="Arial" w:cs="Arial" w:eastAsia="Arial" w:hAnsi="Arial"/>
          <w:sz w:val="18"/>
          <w:szCs w:val="18"/>
          <w:color w:val="auto"/>
        </w:rPr>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648970</wp:posOffset>
            </wp:positionV>
            <wp:extent cx="6858000" cy="4758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475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12" w:right="7440" w:hanging="435"/>
        <w:spacing w:after="0" w:line="367" w:lineRule="auto"/>
        <w:tabs>
          <w:tab w:leader="none" w:pos="912"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 Bin Yuan</w:t>
      </w:r>
    </w:p>
    <w:p>
      <w:pPr>
        <w:ind w:left="912" w:hanging="435"/>
        <w:spacing w:after="0" w:line="229" w:lineRule="auto"/>
        <w:tabs>
          <w:tab w:leader="none" w:pos="91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ind w:left="912"/>
        <w:spacing w:after="0" w:line="207" w:lineRule="exact"/>
        <w:tabs>
          <w:tab w:leader="none" w:pos="1692"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243" w:lineRule="exact"/>
        <w:rPr>
          <w:sz w:val="20"/>
          <w:szCs w:val="20"/>
          <w:color w:val="auto"/>
        </w:rPr>
      </w:pPr>
    </w:p>
    <w:p>
      <w:pPr>
        <w:ind w:left="912" w:hanging="435"/>
        <w:spacing w:after="0"/>
        <w:tabs>
          <w:tab w:leader="none" w:pos="91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912" w:right="6560" w:hanging="435"/>
        <w:spacing w:after="0" w:line="367" w:lineRule="auto"/>
        <w:tabs>
          <w:tab w:leader="none" w:pos="912"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ind w:left="2712" w:hanging="305"/>
        <w:spacing w:after="0" w:line="184" w:lineRule="auto"/>
        <w:tabs>
          <w:tab w:leader="none" w:pos="2712" w:val="left"/>
        </w:tabs>
        <w:numPr>
          <w:ilvl w:val="1"/>
          <w:numId w:val="5"/>
        </w:numPr>
        <w:rPr>
          <w:rFonts w:ascii="Arial" w:cs="Arial" w:eastAsia="Arial" w:hAnsi="Arial"/>
          <w:sz w:val="32"/>
          <w:szCs w:val="32"/>
          <w:color w:val="auto"/>
          <w:vertAlign w:val="superscript"/>
        </w:rPr>
      </w:pPr>
      <w:r>
        <w:rPr>
          <w:rFonts w:ascii="Arial" w:cs="Arial" w:eastAsia="Arial" w:hAnsi="Arial"/>
          <w:sz w:val="16"/>
          <w:szCs w:val="16"/>
          <w:color w:val="auto"/>
        </w:rPr>
        <w:t>SOLE VOTING POWER</w:t>
      </w:r>
    </w:p>
    <w:p>
      <w:pPr>
        <w:spacing w:after="0" w:line="138" w:lineRule="exact"/>
        <w:rPr>
          <w:sz w:val="20"/>
          <w:szCs w:val="20"/>
          <w:color w:val="auto"/>
        </w:rPr>
      </w:pPr>
    </w:p>
    <w:tbl>
      <w:tblPr>
        <w:tblLayout w:type="fixed"/>
        <w:tblInd w:w="672" w:type="dxa"/>
        <w:tblCellMar>
          <w:top w:w="0" w:type="dxa"/>
          <w:left w:w="0" w:type="dxa"/>
          <w:bottom w:w="0" w:type="dxa"/>
          <w:right w:w="0" w:type="dxa"/>
        </w:tblCellMar>
      </w:tblPr>
      <w:tr>
        <w:trPr>
          <w:trHeight w:val="214"/>
        </w:trPr>
        <w:tc>
          <w:tcPr>
            <w:tcW w:w="1580" w:type="dxa"/>
            <w:vAlign w:val="bottom"/>
            <w:vMerge w:val="restart"/>
          </w:tcPr>
          <w:p>
            <w:pPr>
              <w:jc w:val="center"/>
              <w:ind w:right="252"/>
              <w:spacing w:after="0"/>
              <w:rPr>
                <w:sz w:val="20"/>
                <w:szCs w:val="20"/>
                <w:color w:val="auto"/>
              </w:rPr>
            </w:pPr>
            <w:r>
              <w:rPr>
                <w:rFonts w:ascii="Arial" w:cs="Arial" w:eastAsia="Arial" w:hAnsi="Arial"/>
                <w:sz w:val="18"/>
                <w:szCs w:val="18"/>
                <w:color w:val="auto"/>
                <w:w w:val="96"/>
              </w:rPr>
              <w:t>NUMBER OF</w:t>
            </w:r>
          </w:p>
        </w:tc>
        <w:tc>
          <w:tcPr>
            <w:tcW w:w="380" w:type="dxa"/>
            <w:vAlign w:val="bottom"/>
            <w:tcBorders>
              <w:bottom w:val="single" w:sz="8" w:color="auto"/>
            </w:tcBorders>
          </w:tcPr>
          <w:p>
            <w:pPr>
              <w:spacing w:after="0"/>
              <w:rPr>
                <w:sz w:val="18"/>
                <w:szCs w:val="18"/>
                <w:color w:val="auto"/>
              </w:rPr>
            </w:pPr>
          </w:p>
        </w:tc>
        <w:tc>
          <w:tcPr>
            <w:tcW w:w="8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1,070(1)</w:t>
            </w:r>
          </w:p>
        </w:tc>
        <w:tc>
          <w:tcPr>
            <w:tcW w:w="0" w:type="dxa"/>
            <w:vAlign w:val="bottom"/>
          </w:tcPr>
          <w:p>
            <w:pPr>
              <w:spacing w:after="0"/>
              <w:rPr>
                <w:sz w:val="1"/>
                <w:szCs w:val="1"/>
                <w:color w:val="auto"/>
              </w:rPr>
            </w:pPr>
          </w:p>
        </w:tc>
      </w:tr>
      <w:tr>
        <w:trPr>
          <w:trHeight w:val="88"/>
        </w:trPr>
        <w:tc>
          <w:tcPr>
            <w:tcW w:w="1580" w:type="dxa"/>
            <w:vAlign w:val="bottom"/>
            <w:vMerge w:val="continue"/>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5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1580" w:type="dxa"/>
            <w:vAlign w:val="bottom"/>
            <w:vMerge w:val="restart"/>
          </w:tcPr>
          <w:p>
            <w:pPr>
              <w:jc w:val="center"/>
              <w:ind w:right="252"/>
              <w:spacing w:after="0" w:line="176" w:lineRule="exact"/>
              <w:rPr>
                <w:sz w:val="20"/>
                <w:szCs w:val="20"/>
                <w:color w:val="auto"/>
              </w:rPr>
            </w:pPr>
            <w:r>
              <w:rPr>
                <w:rFonts w:ascii="Arial" w:cs="Arial" w:eastAsia="Arial" w:hAnsi="Arial"/>
                <w:sz w:val="18"/>
                <w:szCs w:val="18"/>
                <w:color w:val="auto"/>
                <w:w w:val="91"/>
              </w:rPr>
              <w:t>SHARES</w:t>
            </w:r>
          </w:p>
        </w:tc>
        <w:tc>
          <w:tcPr>
            <w:tcW w:w="380" w:type="dxa"/>
            <w:vAlign w:val="bottom"/>
            <w:vMerge w:val="continue"/>
          </w:tcPr>
          <w:p>
            <w:pPr>
              <w:spacing w:after="0"/>
              <w:rPr>
                <w:sz w:val="12"/>
                <w:szCs w:val="12"/>
                <w:color w:val="auto"/>
              </w:rPr>
            </w:pPr>
          </w:p>
        </w:tc>
        <w:tc>
          <w:tcPr>
            <w:tcW w:w="8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58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580" w:type="dxa"/>
            <w:vAlign w:val="bottom"/>
          </w:tcPr>
          <w:p>
            <w:pPr>
              <w:jc w:val="center"/>
              <w:ind w:right="232"/>
              <w:spacing w:after="0" w:line="176" w:lineRule="exact"/>
              <w:rPr>
                <w:sz w:val="20"/>
                <w:szCs w:val="20"/>
                <w:color w:val="auto"/>
              </w:rPr>
            </w:pPr>
            <w:r>
              <w:rPr>
                <w:rFonts w:ascii="Arial" w:cs="Arial" w:eastAsia="Arial" w:hAnsi="Arial"/>
                <w:sz w:val="18"/>
                <w:szCs w:val="18"/>
                <w:color w:val="auto"/>
                <w:w w:val="99"/>
              </w:rPr>
              <w:t>BENEFICIALLY</w:t>
            </w:r>
          </w:p>
        </w:tc>
        <w:tc>
          <w:tcPr>
            <w:tcW w:w="380" w:type="dxa"/>
            <w:vAlign w:val="bottom"/>
          </w:tcPr>
          <w:p>
            <w:pPr>
              <w:spacing w:after="0"/>
              <w:rPr>
                <w:sz w:val="15"/>
                <w:szCs w:val="15"/>
                <w:color w:val="auto"/>
              </w:rPr>
            </w:pPr>
          </w:p>
        </w:tc>
        <w:tc>
          <w:tcPr>
            <w:tcW w:w="8500" w:type="dxa"/>
            <w:vAlign w:val="bottom"/>
            <w:vMerge w:val="restart"/>
          </w:tcPr>
          <w:p>
            <w:pPr>
              <w:ind w:left="80"/>
              <w:spacing w:after="0"/>
              <w:rPr>
                <w:sz w:val="20"/>
                <w:szCs w:val="20"/>
                <w:color w:val="auto"/>
              </w:rPr>
            </w:pPr>
            <w:r>
              <w:rPr>
                <w:rFonts w:ascii="Arial" w:cs="Arial" w:eastAsia="Arial" w:hAnsi="Arial"/>
                <w:sz w:val="18"/>
                <w:szCs w:val="18"/>
                <w:color w:val="auto"/>
              </w:rPr>
              <w:t>22,587,156(2)</w:t>
            </w:r>
          </w:p>
        </w:tc>
        <w:tc>
          <w:tcPr>
            <w:tcW w:w="0" w:type="dxa"/>
            <w:vAlign w:val="bottom"/>
          </w:tcPr>
          <w:p>
            <w:pPr>
              <w:spacing w:after="0"/>
              <w:rPr>
                <w:sz w:val="1"/>
                <w:szCs w:val="1"/>
                <w:color w:val="auto"/>
              </w:rPr>
            </w:pPr>
          </w:p>
        </w:tc>
      </w:tr>
      <w:tr>
        <w:trPr>
          <w:trHeight w:val="189"/>
        </w:trPr>
        <w:tc>
          <w:tcPr>
            <w:tcW w:w="1580" w:type="dxa"/>
            <w:vAlign w:val="bottom"/>
          </w:tcPr>
          <w:p>
            <w:pPr>
              <w:jc w:val="center"/>
              <w:ind w:right="252"/>
              <w:spacing w:after="0" w:line="189" w:lineRule="exact"/>
              <w:rPr>
                <w:sz w:val="20"/>
                <w:szCs w:val="20"/>
                <w:color w:val="auto"/>
              </w:rPr>
            </w:pPr>
            <w:r>
              <w:rPr>
                <w:rFonts w:ascii="Arial" w:cs="Arial" w:eastAsia="Arial" w:hAnsi="Arial"/>
                <w:sz w:val="18"/>
                <w:szCs w:val="18"/>
                <w:color w:val="auto"/>
                <w:w w:val="97"/>
              </w:rPr>
              <w:t>OWNED BY</w:t>
            </w:r>
          </w:p>
        </w:tc>
        <w:tc>
          <w:tcPr>
            <w:tcW w:w="380" w:type="dxa"/>
            <w:vAlign w:val="bottom"/>
            <w:tcBorders>
              <w:bottom w:val="single" w:sz="8" w:color="auto"/>
            </w:tcBorders>
          </w:tcPr>
          <w:p>
            <w:pPr>
              <w:spacing w:after="0"/>
              <w:rPr>
                <w:sz w:val="16"/>
                <w:szCs w:val="16"/>
                <w:color w:val="auto"/>
              </w:rPr>
            </w:pPr>
          </w:p>
        </w:tc>
        <w:tc>
          <w:tcPr>
            <w:tcW w:w="8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80" w:type="dxa"/>
            <w:vAlign w:val="bottom"/>
          </w:tcPr>
          <w:p>
            <w:pPr>
              <w:jc w:val="center"/>
              <w:ind w:right="252"/>
              <w:spacing w:after="0" w:line="182" w:lineRule="exact"/>
              <w:rPr>
                <w:sz w:val="20"/>
                <w:szCs w:val="20"/>
                <w:color w:val="auto"/>
              </w:rPr>
            </w:pPr>
            <w:r>
              <w:rPr>
                <w:rFonts w:ascii="Arial" w:cs="Arial" w:eastAsia="Arial" w:hAnsi="Arial"/>
                <w:sz w:val="18"/>
                <w:szCs w:val="18"/>
                <w:color w:val="auto"/>
                <w:w w:val="95"/>
              </w:rPr>
              <w:t>EACH</w:t>
            </w: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50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5"/>
        </w:trPr>
        <w:tc>
          <w:tcPr>
            <w:tcW w:w="1580" w:type="dxa"/>
            <w:vAlign w:val="bottom"/>
          </w:tcPr>
          <w:p>
            <w:pPr>
              <w:jc w:val="center"/>
              <w:ind w:right="252"/>
              <w:spacing w:after="0" w:line="135" w:lineRule="exact"/>
              <w:rPr>
                <w:sz w:val="20"/>
                <w:szCs w:val="20"/>
                <w:color w:val="auto"/>
              </w:rPr>
            </w:pPr>
            <w:r>
              <w:rPr>
                <w:rFonts w:ascii="Arial" w:cs="Arial" w:eastAsia="Arial" w:hAnsi="Arial"/>
                <w:sz w:val="15"/>
                <w:szCs w:val="15"/>
                <w:color w:val="auto"/>
              </w:rPr>
              <w:t>REPORTING</w:t>
            </w:r>
          </w:p>
        </w:tc>
        <w:tc>
          <w:tcPr>
            <w:tcW w:w="38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80" w:type="dxa"/>
            <w:vAlign w:val="bottom"/>
          </w:tcPr>
          <w:p>
            <w:pPr>
              <w:jc w:val="center"/>
              <w:ind w:right="252"/>
              <w:spacing w:after="0" w:line="176" w:lineRule="exact"/>
              <w:rPr>
                <w:sz w:val="20"/>
                <w:szCs w:val="20"/>
                <w:color w:val="auto"/>
              </w:rPr>
            </w:pPr>
            <w:r>
              <w:rPr>
                <w:rFonts w:ascii="Arial" w:cs="Arial" w:eastAsia="Arial" w:hAnsi="Arial"/>
                <w:sz w:val="18"/>
                <w:szCs w:val="18"/>
                <w:color w:val="auto"/>
                <w:w w:val="89"/>
              </w:rPr>
              <w:t>PERSON</w:t>
            </w:r>
          </w:p>
        </w:tc>
        <w:tc>
          <w:tcPr>
            <w:tcW w:w="380" w:type="dxa"/>
            <w:vAlign w:val="bottom"/>
          </w:tcPr>
          <w:p>
            <w:pPr>
              <w:spacing w:after="0"/>
              <w:rPr>
                <w:sz w:val="15"/>
                <w:szCs w:val="15"/>
                <w:color w:val="auto"/>
              </w:rPr>
            </w:pPr>
          </w:p>
        </w:tc>
        <w:tc>
          <w:tcPr>
            <w:tcW w:w="8500" w:type="dxa"/>
            <w:vAlign w:val="bottom"/>
            <w:vMerge w:val="restart"/>
          </w:tcPr>
          <w:p>
            <w:pPr>
              <w:ind w:left="80"/>
              <w:spacing w:after="0"/>
              <w:rPr>
                <w:sz w:val="20"/>
                <w:szCs w:val="20"/>
                <w:color w:val="auto"/>
              </w:rPr>
            </w:pPr>
            <w:r>
              <w:rPr>
                <w:rFonts w:ascii="Arial" w:cs="Arial" w:eastAsia="Arial" w:hAnsi="Arial"/>
                <w:sz w:val="18"/>
                <w:szCs w:val="18"/>
                <w:color w:val="auto"/>
              </w:rPr>
              <w:t>1,070(1)</w:t>
            </w:r>
          </w:p>
        </w:tc>
        <w:tc>
          <w:tcPr>
            <w:tcW w:w="0" w:type="dxa"/>
            <w:vAlign w:val="bottom"/>
          </w:tcPr>
          <w:p>
            <w:pPr>
              <w:spacing w:after="0"/>
              <w:rPr>
                <w:sz w:val="1"/>
                <w:szCs w:val="1"/>
                <w:color w:val="auto"/>
              </w:rPr>
            </w:pPr>
          </w:p>
        </w:tc>
      </w:tr>
      <w:tr>
        <w:trPr>
          <w:trHeight w:val="135"/>
        </w:trPr>
        <w:tc>
          <w:tcPr>
            <w:tcW w:w="1580" w:type="dxa"/>
            <w:vAlign w:val="bottom"/>
            <w:vMerge w:val="restart"/>
          </w:tcPr>
          <w:p>
            <w:pPr>
              <w:jc w:val="center"/>
              <w:ind w:right="252"/>
              <w:spacing w:after="0"/>
              <w:rPr>
                <w:sz w:val="20"/>
                <w:szCs w:val="20"/>
                <w:color w:val="auto"/>
              </w:rPr>
            </w:pPr>
            <w:r>
              <w:rPr>
                <w:rFonts w:ascii="Arial" w:cs="Arial" w:eastAsia="Arial" w:hAnsi="Arial"/>
                <w:sz w:val="18"/>
                <w:szCs w:val="18"/>
                <w:color w:val="auto"/>
              </w:rPr>
              <w:t>WITH</w:t>
            </w:r>
          </w:p>
        </w:tc>
        <w:tc>
          <w:tcPr>
            <w:tcW w:w="380" w:type="dxa"/>
            <w:vAlign w:val="bottom"/>
            <w:tcBorders>
              <w:bottom w:val="single" w:sz="8" w:color="auto"/>
            </w:tcBorders>
          </w:tcPr>
          <w:p>
            <w:pPr>
              <w:spacing w:after="0"/>
              <w:rPr>
                <w:sz w:val="11"/>
                <w:szCs w:val="11"/>
                <w:color w:val="auto"/>
              </w:rPr>
            </w:pPr>
          </w:p>
        </w:tc>
        <w:tc>
          <w:tcPr>
            <w:tcW w:w="85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580" w:type="dxa"/>
            <w:vAlign w:val="bottom"/>
            <w:vMerge w:val="continue"/>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712"/>
        <w:spacing w:after="0"/>
        <w:rPr>
          <w:sz w:val="20"/>
          <w:szCs w:val="20"/>
          <w:color w:val="auto"/>
        </w:rPr>
      </w:pPr>
      <w:r>
        <w:rPr>
          <w:rFonts w:ascii="Arial" w:cs="Arial" w:eastAsia="Arial" w:hAnsi="Arial"/>
          <w:sz w:val="18"/>
          <w:szCs w:val="18"/>
          <w:color w:val="auto"/>
        </w:rPr>
        <w:t>22,587,156(2)</w:t>
      </w:r>
    </w:p>
    <w:p>
      <w:pPr>
        <w:spacing w:after="0" w:line="36" w:lineRule="exact"/>
        <w:rPr>
          <w:sz w:val="20"/>
          <w:szCs w:val="20"/>
          <w:color w:val="auto"/>
        </w:rPr>
      </w:pPr>
    </w:p>
    <w:p>
      <w:pPr>
        <w:ind w:left="472"/>
        <w:spacing w:after="0"/>
        <w:tabs>
          <w:tab w:leader="none" w:pos="932"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8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22,588,226</w:t>
      </w:r>
    </w:p>
    <w:p>
      <w:pPr>
        <w:spacing w:after="0" w:line="36" w:lineRule="exact"/>
        <w:rPr>
          <w:sz w:val="20"/>
          <w:szCs w:val="20"/>
          <w:color w:val="auto"/>
        </w:rPr>
      </w:pPr>
    </w:p>
    <w:p>
      <w:pPr>
        <w:ind w:left="952" w:hanging="475"/>
        <w:spacing w:after="0"/>
        <w:tabs>
          <w:tab w:leader="none" w:pos="952"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152" w:lineRule="exact"/>
        <w:rPr>
          <w:sz w:val="20"/>
          <w:szCs w:val="20"/>
          <w:color w:val="auto"/>
        </w:rPr>
      </w:pPr>
    </w:p>
    <w:p>
      <w:pPr>
        <w:ind w:left="992"/>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912" w:right="5280" w:hanging="435"/>
        <w:spacing w:after="0" w:line="363" w:lineRule="auto"/>
        <w:tabs>
          <w:tab w:leader="none" w:pos="912"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9.6%(3)</w:t>
      </w:r>
    </w:p>
    <w:p>
      <w:pPr>
        <w:spacing w:after="0" w:line="1" w:lineRule="exact"/>
        <w:rPr>
          <w:rFonts w:ascii="Arial" w:cs="Arial" w:eastAsia="Arial" w:hAnsi="Arial"/>
          <w:sz w:val="18"/>
          <w:szCs w:val="18"/>
          <w:color w:val="auto"/>
        </w:rPr>
      </w:pPr>
    </w:p>
    <w:p>
      <w:pPr>
        <w:ind w:left="912" w:hanging="435"/>
        <w:spacing w:after="0"/>
        <w:tabs>
          <w:tab w:leader="none" w:pos="9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85" w:lineRule="exact"/>
        <w:rPr>
          <w:sz w:val="20"/>
          <w:szCs w:val="20"/>
          <w:color w:val="auto"/>
        </w:rPr>
      </w:pPr>
    </w:p>
    <w:p>
      <w:pPr>
        <w:ind w:left="992"/>
        <w:spacing w:after="0"/>
        <w:rPr>
          <w:sz w:val="20"/>
          <w:szCs w:val="20"/>
          <w:color w:val="auto"/>
        </w:rPr>
      </w:pPr>
      <w:r>
        <w:rPr>
          <w:rFonts w:ascii="Arial" w:cs="Arial" w:eastAsia="Arial" w:hAnsi="Arial"/>
          <w:sz w:val="18"/>
          <w:szCs w:val="18"/>
          <w:color w:val="auto"/>
        </w:rPr>
        <w:t>IN</w:t>
      </w:r>
    </w:p>
    <w:p>
      <w:pPr>
        <w:spacing w:after="0" w:line="374" w:lineRule="exact"/>
        <w:rPr>
          <w:sz w:val="20"/>
          <w:szCs w:val="20"/>
          <w:color w:val="auto"/>
        </w:rPr>
      </w:pPr>
    </w:p>
    <w:p>
      <w:pPr>
        <w:ind w:left="312" w:hanging="312"/>
        <w:spacing w:after="0"/>
        <w:tabs>
          <w:tab w:leader="none" w:pos="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1,070 shares of Class A Common Stock held of record by Mr. Yuan.</w:t>
      </w:r>
    </w:p>
    <w:p>
      <w:pPr>
        <w:spacing w:after="0" w:line="23" w:lineRule="exact"/>
        <w:rPr>
          <w:rFonts w:ascii="Arial" w:cs="Arial" w:eastAsia="Arial" w:hAnsi="Arial"/>
          <w:sz w:val="18"/>
          <w:szCs w:val="18"/>
          <w:color w:val="auto"/>
        </w:rPr>
      </w:pPr>
    </w:p>
    <w:p>
      <w:pPr>
        <w:ind w:left="312" w:hanging="312"/>
        <w:spacing w:after="0"/>
        <w:tabs>
          <w:tab w:leader="none" w:pos="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22,587,156 shares of Class A Common Stock held in trusts of which the Reporting Person serves as a cotrustee.</w:t>
      </w:r>
    </w:p>
    <w:p>
      <w:pPr>
        <w:spacing w:after="0" w:line="9" w:lineRule="exact"/>
        <w:rPr>
          <w:rFonts w:ascii="Arial" w:cs="Arial" w:eastAsia="Arial" w:hAnsi="Arial"/>
          <w:sz w:val="18"/>
          <w:szCs w:val="18"/>
          <w:color w:val="auto"/>
        </w:rPr>
      </w:pPr>
    </w:p>
    <w:p>
      <w:pPr>
        <w:ind w:left="332" w:right="460" w:hanging="332"/>
        <w:spacing w:after="0" w:line="260" w:lineRule="auto"/>
        <w:tabs>
          <w:tab w:leader="none" w:pos="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 of class was calculated based on 234,240,582 shares of Class A Common Stock outstanding as of March 5, 2021 (as reported in the Issuer’s Annual Report on Form 10-K as filed by the Issuer with the SEC on March 18, 2021).</w:t>
      </w:r>
    </w:p>
    <w:p>
      <w:pPr>
        <w:sectPr>
          <w:pgSz w:w="11900" w:h="16838" w:orient="portrait"/>
          <w:cols w:equalWidth="0" w:num="1">
            <w:col w:w="11132"/>
          </w:cols>
          <w:pgMar w:left="328" w:top="166" w:right="439" w:bottom="1440" w:gutter="0" w:footer="0" w:header="0"/>
        </w:sectPr>
      </w:pPr>
    </w:p>
    <w:bookmarkStart w:id="2" w:name="page3"/>
    <w:bookmarkEnd w:id="2"/>
    <w:p>
      <w:pPr>
        <w:ind w:left="12"/>
        <w:spacing w:after="0"/>
        <w:tabs>
          <w:tab w:leader="none" w:pos="4932" w:val="left"/>
          <w:tab w:leader="none" w:pos="9972" w:val="left"/>
        </w:tabs>
        <w:rPr>
          <w:sz w:val="20"/>
          <w:szCs w:val="20"/>
          <w:color w:val="auto"/>
        </w:rPr>
      </w:pPr>
      <w:r>
        <w:rPr>
          <w:rFonts w:ascii="Arial" w:cs="Arial" w:eastAsia="Arial" w:hAnsi="Arial"/>
          <w:sz w:val="18"/>
          <w:szCs w:val="18"/>
          <w:color w:val="auto"/>
        </w:rPr>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357505</wp:posOffset>
            </wp:positionV>
            <wp:extent cx="6849110" cy="4749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9110" cy="474916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912" w:right="7420" w:hanging="435"/>
        <w:spacing w:after="0" w:line="367" w:lineRule="auto"/>
        <w:tabs>
          <w:tab w:leader="none" w:pos="912"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 Cathy Z. Wang</w:t>
      </w:r>
    </w:p>
    <w:p>
      <w:pPr>
        <w:ind w:left="912" w:hanging="435"/>
        <w:spacing w:after="0" w:line="229" w:lineRule="auto"/>
        <w:tabs>
          <w:tab w:leader="none" w:pos="912"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ind w:left="912"/>
        <w:spacing w:after="0" w:line="207" w:lineRule="exact"/>
        <w:tabs>
          <w:tab w:leader="none" w:pos="1692"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243" w:lineRule="exact"/>
        <w:rPr>
          <w:sz w:val="20"/>
          <w:szCs w:val="20"/>
          <w:color w:val="auto"/>
        </w:rPr>
      </w:pPr>
    </w:p>
    <w:p>
      <w:pPr>
        <w:ind w:left="912" w:hanging="435"/>
        <w:spacing w:after="0"/>
        <w:tabs>
          <w:tab w:leader="none" w:pos="9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912" w:right="6540" w:hanging="435"/>
        <w:spacing w:after="0" w:line="367" w:lineRule="auto"/>
        <w:tabs>
          <w:tab w:leader="none" w:pos="9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ind w:left="2712" w:hanging="305"/>
        <w:spacing w:after="0" w:line="184" w:lineRule="auto"/>
        <w:tabs>
          <w:tab w:leader="none" w:pos="2712" w:val="left"/>
        </w:tabs>
        <w:numPr>
          <w:ilvl w:val="1"/>
          <w:numId w:val="10"/>
        </w:numPr>
        <w:rPr>
          <w:rFonts w:ascii="Arial" w:cs="Arial" w:eastAsia="Arial" w:hAnsi="Arial"/>
          <w:sz w:val="32"/>
          <w:szCs w:val="32"/>
          <w:color w:val="auto"/>
          <w:vertAlign w:val="superscript"/>
        </w:rPr>
      </w:pPr>
      <w:r>
        <w:rPr>
          <w:rFonts w:ascii="Arial" w:cs="Arial" w:eastAsia="Arial" w:hAnsi="Arial"/>
          <w:sz w:val="16"/>
          <w:szCs w:val="16"/>
          <w:color w:val="auto"/>
        </w:rPr>
        <w:t>SOLE VOTING POWER</w:t>
      </w:r>
    </w:p>
    <w:p>
      <w:pPr>
        <w:spacing w:after="0" w:line="138" w:lineRule="exact"/>
        <w:rPr>
          <w:sz w:val="20"/>
          <w:szCs w:val="20"/>
          <w:color w:val="auto"/>
        </w:rPr>
      </w:pPr>
    </w:p>
    <w:tbl>
      <w:tblPr>
        <w:tblLayout w:type="fixed"/>
        <w:tblInd w:w="672" w:type="dxa"/>
        <w:tblCellMar>
          <w:top w:w="0" w:type="dxa"/>
          <w:left w:w="0" w:type="dxa"/>
          <w:bottom w:w="0" w:type="dxa"/>
          <w:right w:w="0" w:type="dxa"/>
        </w:tblCellMar>
      </w:tblPr>
      <w:tr>
        <w:trPr>
          <w:trHeight w:val="214"/>
        </w:trPr>
        <w:tc>
          <w:tcPr>
            <w:tcW w:w="1580" w:type="dxa"/>
            <w:vAlign w:val="bottom"/>
            <w:vMerge w:val="restart"/>
          </w:tcPr>
          <w:p>
            <w:pPr>
              <w:jc w:val="center"/>
              <w:ind w:right="252"/>
              <w:spacing w:after="0"/>
              <w:rPr>
                <w:sz w:val="20"/>
                <w:szCs w:val="20"/>
                <w:color w:val="auto"/>
              </w:rPr>
            </w:pPr>
            <w:r>
              <w:rPr>
                <w:rFonts w:ascii="Arial" w:cs="Arial" w:eastAsia="Arial" w:hAnsi="Arial"/>
                <w:sz w:val="18"/>
                <w:szCs w:val="18"/>
                <w:color w:val="auto"/>
                <w:w w:val="96"/>
              </w:rPr>
              <w:t>NUMBER OF</w:t>
            </w:r>
          </w:p>
        </w:tc>
        <w:tc>
          <w:tcPr>
            <w:tcW w:w="380" w:type="dxa"/>
            <w:vAlign w:val="bottom"/>
            <w:tcBorders>
              <w:bottom w:val="single" w:sz="8" w:color="auto"/>
            </w:tcBorders>
          </w:tcPr>
          <w:p>
            <w:pPr>
              <w:spacing w:after="0"/>
              <w:rPr>
                <w:sz w:val="18"/>
                <w:szCs w:val="18"/>
                <w:color w:val="auto"/>
              </w:rPr>
            </w:pPr>
          </w:p>
        </w:tc>
        <w:tc>
          <w:tcPr>
            <w:tcW w:w="8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88"/>
        </w:trPr>
        <w:tc>
          <w:tcPr>
            <w:tcW w:w="1580" w:type="dxa"/>
            <w:vAlign w:val="bottom"/>
            <w:vMerge w:val="continue"/>
          </w:tcPr>
          <w:p>
            <w:pPr>
              <w:spacing w:after="0"/>
              <w:rPr>
                <w:sz w:val="7"/>
                <w:szCs w:val="7"/>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4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1580" w:type="dxa"/>
            <w:vAlign w:val="bottom"/>
            <w:vMerge w:val="restart"/>
          </w:tcPr>
          <w:p>
            <w:pPr>
              <w:jc w:val="center"/>
              <w:ind w:right="252"/>
              <w:spacing w:after="0" w:line="176" w:lineRule="exact"/>
              <w:rPr>
                <w:sz w:val="20"/>
                <w:szCs w:val="20"/>
                <w:color w:val="auto"/>
              </w:rPr>
            </w:pPr>
            <w:r>
              <w:rPr>
                <w:rFonts w:ascii="Arial" w:cs="Arial" w:eastAsia="Arial" w:hAnsi="Arial"/>
                <w:sz w:val="18"/>
                <w:szCs w:val="18"/>
                <w:color w:val="auto"/>
                <w:w w:val="91"/>
              </w:rPr>
              <w:t>SHARES</w:t>
            </w:r>
          </w:p>
        </w:tc>
        <w:tc>
          <w:tcPr>
            <w:tcW w:w="380" w:type="dxa"/>
            <w:vAlign w:val="bottom"/>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58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8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580" w:type="dxa"/>
            <w:vAlign w:val="bottom"/>
          </w:tcPr>
          <w:p>
            <w:pPr>
              <w:jc w:val="center"/>
              <w:ind w:right="232"/>
              <w:spacing w:after="0" w:line="176" w:lineRule="exact"/>
              <w:rPr>
                <w:sz w:val="20"/>
                <w:szCs w:val="20"/>
                <w:color w:val="auto"/>
              </w:rPr>
            </w:pPr>
            <w:r>
              <w:rPr>
                <w:rFonts w:ascii="Arial" w:cs="Arial" w:eastAsia="Arial" w:hAnsi="Arial"/>
                <w:sz w:val="18"/>
                <w:szCs w:val="18"/>
                <w:color w:val="auto"/>
                <w:w w:val="99"/>
              </w:rPr>
              <w:t>BENEFICIALLY</w:t>
            </w:r>
          </w:p>
        </w:tc>
        <w:tc>
          <w:tcPr>
            <w:tcW w:w="380" w:type="dxa"/>
            <w:vAlign w:val="bottom"/>
          </w:tcPr>
          <w:p>
            <w:pPr>
              <w:spacing w:after="0"/>
              <w:rPr>
                <w:sz w:val="15"/>
                <w:szCs w:val="15"/>
                <w:color w:val="auto"/>
              </w:rPr>
            </w:pPr>
          </w:p>
        </w:tc>
        <w:tc>
          <w:tcPr>
            <w:tcW w:w="8480" w:type="dxa"/>
            <w:vAlign w:val="bottom"/>
            <w:vMerge w:val="restart"/>
          </w:tcPr>
          <w:p>
            <w:pPr>
              <w:ind w:left="80"/>
              <w:spacing w:after="0"/>
              <w:rPr>
                <w:sz w:val="20"/>
                <w:szCs w:val="20"/>
                <w:color w:val="auto"/>
              </w:rPr>
            </w:pPr>
            <w:r>
              <w:rPr>
                <w:rFonts w:ascii="Arial" w:cs="Arial" w:eastAsia="Arial" w:hAnsi="Arial"/>
                <w:sz w:val="18"/>
                <w:szCs w:val="18"/>
                <w:color w:val="auto"/>
              </w:rPr>
              <w:t>22,587,156(2)</w:t>
            </w:r>
          </w:p>
        </w:tc>
        <w:tc>
          <w:tcPr>
            <w:tcW w:w="0" w:type="dxa"/>
            <w:vAlign w:val="bottom"/>
          </w:tcPr>
          <w:p>
            <w:pPr>
              <w:spacing w:after="0"/>
              <w:rPr>
                <w:sz w:val="1"/>
                <w:szCs w:val="1"/>
                <w:color w:val="auto"/>
              </w:rPr>
            </w:pPr>
          </w:p>
        </w:tc>
      </w:tr>
      <w:tr>
        <w:trPr>
          <w:trHeight w:val="189"/>
        </w:trPr>
        <w:tc>
          <w:tcPr>
            <w:tcW w:w="1580" w:type="dxa"/>
            <w:vAlign w:val="bottom"/>
          </w:tcPr>
          <w:p>
            <w:pPr>
              <w:jc w:val="center"/>
              <w:ind w:right="252"/>
              <w:spacing w:after="0" w:line="189" w:lineRule="exact"/>
              <w:rPr>
                <w:sz w:val="20"/>
                <w:szCs w:val="20"/>
                <w:color w:val="auto"/>
              </w:rPr>
            </w:pPr>
            <w:r>
              <w:rPr>
                <w:rFonts w:ascii="Arial" w:cs="Arial" w:eastAsia="Arial" w:hAnsi="Arial"/>
                <w:sz w:val="18"/>
                <w:szCs w:val="18"/>
                <w:color w:val="auto"/>
                <w:w w:val="97"/>
              </w:rPr>
              <w:t>OWNED BY</w:t>
            </w:r>
          </w:p>
        </w:tc>
        <w:tc>
          <w:tcPr>
            <w:tcW w:w="380" w:type="dxa"/>
            <w:vAlign w:val="bottom"/>
            <w:tcBorders>
              <w:bottom w:val="single" w:sz="8" w:color="auto"/>
            </w:tcBorders>
          </w:tcPr>
          <w:p>
            <w:pPr>
              <w:spacing w:after="0"/>
              <w:rPr>
                <w:sz w:val="16"/>
                <w:szCs w:val="16"/>
                <w:color w:val="auto"/>
              </w:rPr>
            </w:pPr>
          </w:p>
        </w:tc>
        <w:tc>
          <w:tcPr>
            <w:tcW w:w="8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80" w:type="dxa"/>
            <w:vAlign w:val="bottom"/>
          </w:tcPr>
          <w:p>
            <w:pPr>
              <w:jc w:val="center"/>
              <w:ind w:right="252"/>
              <w:spacing w:after="0" w:line="182" w:lineRule="exact"/>
              <w:rPr>
                <w:sz w:val="20"/>
                <w:szCs w:val="20"/>
                <w:color w:val="auto"/>
              </w:rPr>
            </w:pPr>
            <w:r>
              <w:rPr>
                <w:rFonts w:ascii="Arial" w:cs="Arial" w:eastAsia="Arial" w:hAnsi="Arial"/>
                <w:sz w:val="18"/>
                <w:szCs w:val="18"/>
                <w:color w:val="auto"/>
                <w:w w:val="95"/>
              </w:rPr>
              <w:t>EACH</w:t>
            </w: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4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5"/>
        </w:trPr>
        <w:tc>
          <w:tcPr>
            <w:tcW w:w="1580" w:type="dxa"/>
            <w:vAlign w:val="bottom"/>
          </w:tcPr>
          <w:p>
            <w:pPr>
              <w:jc w:val="center"/>
              <w:ind w:right="252"/>
              <w:spacing w:after="0" w:line="135" w:lineRule="exact"/>
              <w:rPr>
                <w:sz w:val="20"/>
                <w:szCs w:val="20"/>
                <w:color w:val="auto"/>
              </w:rPr>
            </w:pPr>
            <w:r>
              <w:rPr>
                <w:rFonts w:ascii="Arial" w:cs="Arial" w:eastAsia="Arial" w:hAnsi="Arial"/>
                <w:sz w:val="15"/>
                <w:szCs w:val="15"/>
                <w:color w:val="auto"/>
              </w:rPr>
              <w:t>REPORTING</w:t>
            </w:r>
          </w:p>
        </w:tc>
        <w:tc>
          <w:tcPr>
            <w:tcW w:w="380" w:type="dxa"/>
            <w:vAlign w:val="bottom"/>
          </w:tcPr>
          <w:p>
            <w:pPr>
              <w:spacing w:after="0"/>
              <w:rPr>
                <w:sz w:val="11"/>
                <w:szCs w:val="11"/>
                <w:color w:val="auto"/>
              </w:rPr>
            </w:pPr>
          </w:p>
        </w:tc>
        <w:tc>
          <w:tcPr>
            <w:tcW w:w="8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80" w:type="dxa"/>
            <w:vAlign w:val="bottom"/>
          </w:tcPr>
          <w:p>
            <w:pPr>
              <w:jc w:val="center"/>
              <w:ind w:right="252"/>
              <w:spacing w:after="0" w:line="176" w:lineRule="exact"/>
              <w:rPr>
                <w:sz w:val="20"/>
                <w:szCs w:val="20"/>
                <w:color w:val="auto"/>
              </w:rPr>
            </w:pPr>
            <w:r>
              <w:rPr>
                <w:rFonts w:ascii="Arial" w:cs="Arial" w:eastAsia="Arial" w:hAnsi="Arial"/>
                <w:sz w:val="18"/>
                <w:szCs w:val="18"/>
                <w:color w:val="auto"/>
                <w:w w:val="89"/>
              </w:rPr>
              <w:t>PERSON</w:t>
            </w:r>
          </w:p>
        </w:tc>
        <w:tc>
          <w:tcPr>
            <w:tcW w:w="380" w:type="dxa"/>
            <w:vAlign w:val="bottom"/>
          </w:tcPr>
          <w:p>
            <w:pPr>
              <w:spacing w:after="0"/>
              <w:rPr>
                <w:sz w:val="15"/>
                <w:szCs w:val="15"/>
                <w:color w:val="auto"/>
              </w:rPr>
            </w:pPr>
          </w:p>
        </w:tc>
        <w:tc>
          <w:tcPr>
            <w:tcW w:w="8480" w:type="dxa"/>
            <w:vAlign w:val="bottom"/>
            <w:vMerge w:val="restart"/>
          </w:tcPr>
          <w:p>
            <w:pPr>
              <w:ind w:left="80"/>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135"/>
        </w:trPr>
        <w:tc>
          <w:tcPr>
            <w:tcW w:w="1580" w:type="dxa"/>
            <w:vAlign w:val="bottom"/>
            <w:vMerge w:val="restart"/>
          </w:tcPr>
          <w:p>
            <w:pPr>
              <w:jc w:val="center"/>
              <w:ind w:right="252"/>
              <w:spacing w:after="0"/>
              <w:rPr>
                <w:sz w:val="20"/>
                <w:szCs w:val="20"/>
                <w:color w:val="auto"/>
              </w:rPr>
            </w:pPr>
            <w:r>
              <w:rPr>
                <w:rFonts w:ascii="Arial" w:cs="Arial" w:eastAsia="Arial" w:hAnsi="Arial"/>
                <w:sz w:val="18"/>
                <w:szCs w:val="18"/>
                <w:color w:val="auto"/>
              </w:rPr>
              <w:t>WITH</w:t>
            </w:r>
          </w:p>
        </w:tc>
        <w:tc>
          <w:tcPr>
            <w:tcW w:w="380" w:type="dxa"/>
            <w:vAlign w:val="bottom"/>
            <w:tcBorders>
              <w:bottom w:val="single" w:sz="8" w:color="auto"/>
            </w:tcBorders>
          </w:tcPr>
          <w:p>
            <w:pPr>
              <w:spacing w:after="0"/>
              <w:rPr>
                <w:sz w:val="11"/>
                <w:szCs w:val="11"/>
                <w:color w:val="auto"/>
              </w:rPr>
            </w:pPr>
          </w:p>
        </w:tc>
        <w:tc>
          <w:tcPr>
            <w:tcW w:w="8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580" w:type="dxa"/>
            <w:vAlign w:val="bottom"/>
            <w:vMerge w:val="continue"/>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712"/>
        <w:spacing w:after="0"/>
        <w:rPr>
          <w:sz w:val="20"/>
          <w:szCs w:val="20"/>
          <w:color w:val="auto"/>
        </w:rPr>
      </w:pPr>
      <w:r>
        <w:rPr>
          <w:rFonts w:ascii="Arial" w:cs="Arial" w:eastAsia="Arial" w:hAnsi="Arial"/>
          <w:sz w:val="18"/>
          <w:szCs w:val="18"/>
          <w:color w:val="auto"/>
        </w:rPr>
        <w:t>22,587,156(2)</w:t>
      </w:r>
    </w:p>
    <w:p>
      <w:pPr>
        <w:spacing w:after="0" w:line="36" w:lineRule="exact"/>
        <w:rPr>
          <w:sz w:val="20"/>
          <w:szCs w:val="20"/>
          <w:color w:val="auto"/>
        </w:rPr>
      </w:pPr>
    </w:p>
    <w:p>
      <w:pPr>
        <w:ind w:left="472"/>
        <w:spacing w:after="0"/>
        <w:tabs>
          <w:tab w:leader="none" w:pos="932"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8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22,588,156</w:t>
      </w:r>
    </w:p>
    <w:p>
      <w:pPr>
        <w:spacing w:after="0" w:line="36" w:lineRule="exact"/>
        <w:rPr>
          <w:sz w:val="20"/>
          <w:szCs w:val="20"/>
          <w:color w:val="auto"/>
        </w:rPr>
      </w:pPr>
    </w:p>
    <w:p>
      <w:pPr>
        <w:ind w:left="952" w:hanging="475"/>
        <w:spacing w:after="0"/>
        <w:tabs>
          <w:tab w:leader="none" w:pos="9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152" w:lineRule="exact"/>
        <w:rPr>
          <w:sz w:val="20"/>
          <w:szCs w:val="20"/>
          <w:color w:val="auto"/>
        </w:rPr>
      </w:pPr>
    </w:p>
    <w:p>
      <w:pPr>
        <w:ind w:left="992"/>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912" w:right="5260" w:hanging="435"/>
        <w:spacing w:after="0" w:line="363" w:lineRule="auto"/>
        <w:tabs>
          <w:tab w:leader="none" w:pos="9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9.6%(3)</w:t>
      </w:r>
    </w:p>
    <w:p>
      <w:pPr>
        <w:spacing w:after="0" w:line="1" w:lineRule="exact"/>
        <w:rPr>
          <w:rFonts w:ascii="Arial" w:cs="Arial" w:eastAsia="Arial" w:hAnsi="Arial"/>
          <w:sz w:val="18"/>
          <w:szCs w:val="18"/>
          <w:color w:val="auto"/>
        </w:rPr>
      </w:pPr>
    </w:p>
    <w:p>
      <w:pPr>
        <w:ind w:left="912" w:hanging="435"/>
        <w:spacing w:after="0"/>
        <w:tabs>
          <w:tab w:leader="none" w:pos="9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85" w:lineRule="exact"/>
        <w:rPr>
          <w:sz w:val="20"/>
          <w:szCs w:val="20"/>
          <w:color w:val="auto"/>
        </w:rPr>
      </w:pPr>
    </w:p>
    <w:p>
      <w:pPr>
        <w:ind w:left="992"/>
        <w:spacing w:after="0"/>
        <w:rPr>
          <w:sz w:val="20"/>
          <w:szCs w:val="20"/>
          <w:color w:val="auto"/>
        </w:rPr>
      </w:pPr>
      <w:r>
        <w:rPr>
          <w:rFonts w:ascii="Arial" w:cs="Arial" w:eastAsia="Arial" w:hAnsi="Arial"/>
          <w:sz w:val="18"/>
          <w:szCs w:val="18"/>
          <w:color w:val="auto"/>
        </w:rPr>
        <w:t>IN</w:t>
      </w:r>
    </w:p>
    <w:p>
      <w:pPr>
        <w:spacing w:after="0" w:line="117" w:lineRule="exact"/>
        <w:rPr>
          <w:sz w:val="20"/>
          <w:szCs w:val="20"/>
          <w:color w:val="auto"/>
        </w:rPr>
      </w:pPr>
    </w:p>
    <w:p>
      <w:pPr>
        <w:ind w:left="312" w:hanging="312"/>
        <w:spacing w:after="0"/>
        <w:tabs>
          <w:tab w:leader="none" w:pos="3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1,000 shares of Class A Common Stock held of record by Ms. Wang.</w:t>
      </w:r>
    </w:p>
    <w:p>
      <w:pPr>
        <w:spacing w:after="0" w:line="23" w:lineRule="exact"/>
        <w:rPr>
          <w:rFonts w:ascii="Arial" w:cs="Arial" w:eastAsia="Arial" w:hAnsi="Arial"/>
          <w:sz w:val="18"/>
          <w:szCs w:val="18"/>
          <w:color w:val="auto"/>
        </w:rPr>
      </w:pPr>
    </w:p>
    <w:p>
      <w:pPr>
        <w:ind w:left="312" w:hanging="312"/>
        <w:spacing w:after="0"/>
        <w:tabs>
          <w:tab w:leader="none" w:pos="3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22,587,156 shares of Class A Common Stock held in trusts of which the Reporting Person serves as a cotrustee.</w:t>
      </w:r>
    </w:p>
    <w:p>
      <w:pPr>
        <w:spacing w:after="0" w:line="9" w:lineRule="exact"/>
        <w:rPr>
          <w:rFonts w:ascii="Arial" w:cs="Arial" w:eastAsia="Arial" w:hAnsi="Arial"/>
          <w:sz w:val="18"/>
          <w:szCs w:val="18"/>
          <w:color w:val="auto"/>
        </w:rPr>
      </w:pPr>
    </w:p>
    <w:p>
      <w:pPr>
        <w:ind w:left="332" w:right="440" w:hanging="332"/>
        <w:spacing w:after="0" w:line="260"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 of class was calculated based on 234,240,582 shares of Class A Common Stock outstanding as of March 5, 2021 (as reported in the Issuer’s Annual Report on Form 10-K as filed by the Issuer with the SEC on March 18, 2021).</w:t>
      </w:r>
    </w:p>
    <w:p>
      <w:pPr>
        <w:spacing w:after="0" w:line="249" w:lineRule="exact"/>
        <w:rPr>
          <w:sz w:val="20"/>
          <w:szCs w:val="20"/>
          <w:color w:val="auto"/>
        </w:rPr>
      </w:pPr>
    </w:p>
    <w:p>
      <w:pPr>
        <w:ind w:left="12"/>
        <w:spacing w:after="0"/>
        <w:tabs>
          <w:tab w:leader="none" w:pos="1072"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Issuer</w:t>
      </w:r>
    </w:p>
    <w:p>
      <w:pPr>
        <w:spacing w:after="0" w:line="297" w:lineRule="exact"/>
        <w:rPr>
          <w:sz w:val="20"/>
          <w:szCs w:val="20"/>
          <w:color w:val="auto"/>
        </w:rPr>
      </w:pPr>
    </w:p>
    <w:p>
      <w:pPr>
        <w:ind w:left="2152" w:hanging="1068"/>
        <w:spacing w:after="0"/>
        <w:tabs>
          <w:tab w:leader="none" w:pos="21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88" w:lineRule="exact"/>
        <w:rPr>
          <w:rFonts w:ascii="Arial" w:cs="Arial" w:eastAsia="Arial" w:hAnsi="Arial"/>
          <w:sz w:val="18"/>
          <w:szCs w:val="18"/>
          <w:color w:val="auto"/>
        </w:rPr>
      </w:pPr>
    </w:p>
    <w:p>
      <w:pPr>
        <w:ind w:left="2152"/>
        <w:spacing w:after="0"/>
        <w:rPr>
          <w:rFonts w:ascii="Arial" w:cs="Arial" w:eastAsia="Arial" w:hAnsi="Arial"/>
          <w:sz w:val="18"/>
          <w:szCs w:val="18"/>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296" w:lineRule="exact"/>
        <w:rPr>
          <w:rFonts w:ascii="Arial" w:cs="Arial" w:eastAsia="Arial" w:hAnsi="Arial"/>
          <w:sz w:val="18"/>
          <w:szCs w:val="18"/>
          <w:color w:val="auto"/>
        </w:rPr>
      </w:pPr>
    </w:p>
    <w:p>
      <w:pPr>
        <w:ind w:left="2152" w:hanging="1068"/>
        <w:spacing w:after="0"/>
        <w:tabs>
          <w:tab w:leader="none" w:pos="21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77" w:lineRule="exact"/>
        <w:rPr>
          <w:sz w:val="20"/>
          <w:szCs w:val="20"/>
          <w:color w:val="auto"/>
        </w:rPr>
      </w:pPr>
    </w:p>
    <w:p>
      <w:pPr>
        <w:ind w:left="2152"/>
        <w:spacing w:after="0"/>
        <w:rPr>
          <w:sz w:val="20"/>
          <w:szCs w:val="20"/>
          <w:color w:val="auto"/>
        </w:rPr>
      </w:pPr>
      <w:r>
        <w:rPr>
          <w:rFonts w:ascii="Arial" w:cs="Arial" w:eastAsia="Arial" w:hAnsi="Arial"/>
          <w:sz w:val="18"/>
          <w:szCs w:val="18"/>
          <w:color w:val="auto"/>
        </w:rPr>
        <w:t>55 Almaden Boulevard, 6</w:t>
      </w:r>
      <w:r>
        <w:rPr>
          <w:rFonts w:ascii="Arial" w:cs="Arial" w:eastAsia="Arial" w:hAnsi="Arial"/>
          <w:sz w:val="16"/>
          <w:szCs w:val="16"/>
          <w:color w:val="auto"/>
        </w:rPr>
        <w:t>th</w:t>
      </w:r>
      <w:r>
        <w:rPr>
          <w:rFonts w:ascii="Arial" w:cs="Arial" w:eastAsia="Arial" w:hAnsi="Arial"/>
          <w:sz w:val="18"/>
          <w:szCs w:val="18"/>
          <w:color w:val="auto"/>
        </w:rPr>
        <w:t xml:space="preserve"> Floor</w:t>
      </w:r>
    </w:p>
    <w:p>
      <w:pPr>
        <w:ind w:left="2152"/>
        <w:spacing w:after="0"/>
        <w:rPr>
          <w:sz w:val="20"/>
          <w:szCs w:val="20"/>
          <w:color w:val="auto"/>
        </w:rPr>
      </w:pPr>
      <w:r>
        <w:rPr>
          <w:rFonts w:ascii="Arial" w:cs="Arial" w:eastAsia="Arial" w:hAnsi="Arial"/>
          <w:sz w:val="18"/>
          <w:szCs w:val="18"/>
          <w:color w:val="auto"/>
        </w:rPr>
        <w:t>San Jose, California 95113</w:t>
      </w:r>
    </w:p>
    <w:p>
      <w:pPr>
        <w:spacing w:after="0" w:line="273" w:lineRule="exact"/>
        <w:rPr>
          <w:sz w:val="20"/>
          <w:szCs w:val="20"/>
          <w:color w:val="auto"/>
        </w:rPr>
      </w:pPr>
    </w:p>
    <w:p>
      <w:pPr>
        <w:ind w:left="12"/>
        <w:spacing w:after="0"/>
        <w:tabs>
          <w:tab w:leader="none" w:pos="1072"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297" w:lineRule="exact"/>
        <w:rPr>
          <w:sz w:val="20"/>
          <w:szCs w:val="20"/>
          <w:color w:val="auto"/>
        </w:rPr>
      </w:pPr>
    </w:p>
    <w:p>
      <w:pPr>
        <w:ind w:left="2152" w:hanging="1068"/>
        <w:spacing w:after="0"/>
        <w:tabs>
          <w:tab w:leader="none" w:pos="21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Persons Filing:</w:t>
      </w:r>
    </w:p>
    <w:p>
      <w:pPr>
        <w:sectPr>
          <w:pgSz w:w="11900" w:h="16838" w:orient="portrait"/>
          <w:cols w:equalWidth="0" w:num="1">
            <w:col w:w="11112"/>
          </w:cols>
          <w:pgMar w:left="328" w:top="166" w:right="459" w:bottom="1440" w:gutter="0" w:footer="0" w:header="0"/>
        </w:sectPr>
      </w:pPr>
    </w:p>
    <w:bookmarkStart w:id="3" w:name="page4"/>
    <w:bookmarkEnd w:id="3"/>
    <w:p>
      <w:pPr>
        <w:spacing w:after="0"/>
        <w:tabs>
          <w:tab w:leader="none" w:pos="4920" w:val="left"/>
          <w:tab w:leader="none" w:pos="9960" w:val="left"/>
        </w:tabs>
        <w:rPr>
          <w:sz w:val="20"/>
          <w:szCs w:val="20"/>
          <w:color w:val="auto"/>
        </w:rPr>
      </w:pPr>
      <w:r>
        <w:rPr>
          <w:rFonts w:ascii="Arial" w:cs="Arial" w:eastAsia="Arial" w:hAnsi="Arial"/>
          <w:sz w:val="18"/>
          <w:szCs w:val="18"/>
          <w:color w:val="auto"/>
        </w:rPr>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360" w:hanging="221"/>
        <w:spacing w:after="0"/>
        <w:tabs>
          <w:tab w:leader="none" w:pos="2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Bin Yuan</w:t>
      </w:r>
    </w:p>
    <w:p>
      <w:pPr>
        <w:spacing w:after="0" w:line="23" w:lineRule="exact"/>
        <w:rPr>
          <w:rFonts w:ascii="Arial" w:cs="Arial" w:eastAsia="Arial" w:hAnsi="Arial"/>
          <w:sz w:val="18"/>
          <w:szCs w:val="18"/>
          <w:color w:val="auto"/>
        </w:rPr>
      </w:pPr>
    </w:p>
    <w:p>
      <w:pPr>
        <w:ind w:left="2400" w:hanging="261"/>
        <w:spacing w:after="0"/>
        <w:tabs>
          <w:tab w:leader="none" w:pos="24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Cathy Z. Wang</w:t>
      </w:r>
    </w:p>
    <w:p>
      <w:pPr>
        <w:spacing w:after="0" w:line="35" w:lineRule="exact"/>
        <w:rPr>
          <w:rFonts w:ascii="Arial" w:cs="Arial" w:eastAsia="Arial" w:hAnsi="Arial"/>
          <w:sz w:val="18"/>
          <w:szCs w:val="18"/>
          <w:color w:val="auto"/>
        </w:rPr>
      </w:pPr>
    </w:p>
    <w:p>
      <w:pPr>
        <w:ind w:left="2140" w:hanging="1068"/>
        <w:spacing w:after="0"/>
        <w:tabs>
          <w:tab w:leader="none" w:pos="2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77" w:lineRule="exact"/>
        <w:rPr>
          <w:rFonts w:ascii="Arial" w:cs="Arial" w:eastAsia="Arial" w:hAnsi="Arial"/>
          <w:sz w:val="18"/>
          <w:szCs w:val="18"/>
          <w:color w:val="auto"/>
        </w:rPr>
      </w:pPr>
    </w:p>
    <w:p>
      <w:pPr>
        <w:ind w:left="2140"/>
        <w:spacing w:after="0"/>
        <w:rPr>
          <w:rFonts w:ascii="Arial" w:cs="Arial" w:eastAsia="Arial" w:hAnsi="Arial"/>
          <w:sz w:val="18"/>
          <w:szCs w:val="18"/>
          <w:color w:val="auto"/>
        </w:rPr>
      </w:pPr>
      <w:r>
        <w:rPr>
          <w:rFonts w:ascii="Arial" w:cs="Arial" w:eastAsia="Arial" w:hAnsi="Arial"/>
          <w:sz w:val="18"/>
          <w:szCs w:val="18"/>
          <w:color w:val="auto"/>
        </w:rPr>
        <w:t>C/O Zoom Video Communications, Inc.</w:t>
      </w:r>
    </w:p>
    <w:p>
      <w:pPr>
        <w:ind w:left="2140" w:right="6180"/>
        <w:spacing w:after="0" w:line="268" w:lineRule="auto"/>
        <w:rPr>
          <w:rFonts w:ascii="Arial" w:cs="Arial" w:eastAsia="Arial" w:hAnsi="Arial"/>
          <w:sz w:val="18"/>
          <w:szCs w:val="18"/>
          <w:color w:val="auto"/>
        </w:rPr>
      </w:pPr>
      <w:r>
        <w:rPr>
          <w:rFonts w:ascii="Arial" w:cs="Arial" w:eastAsia="Arial" w:hAnsi="Arial"/>
          <w:sz w:val="16"/>
          <w:szCs w:val="16"/>
          <w:color w:val="auto"/>
        </w:rPr>
        <w:t>55 Almaden, Boulevard, 6th Floor San Jose, California, 95113</w:t>
      </w:r>
    </w:p>
    <w:p>
      <w:pPr>
        <w:spacing w:after="0" w:line="248" w:lineRule="exact"/>
        <w:rPr>
          <w:rFonts w:ascii="Arial" w:cs="Arial" w:eastAsia="Arial" w:hAnsi="Arial"/>
          <w:sz w:val="18"/>
          <w:szCs w:val="18"/>
          <w:color w:val="auto"/>
        </w:rPr>
      </w:pPr>
    </w:p>
    <w:p>
      <w:pPr>
        <w:ind w:left="2140" w:hanging="1068"/>
        <w:spacing w:after="0"/>
        <w:tabs>
          <w:tab w:leader="none" w:pos="2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79" w:lineRule="exact"/>
        <w:rPr>
          <w:rFonts w:ascii="Arial" w:cs="Arial" w:eastAsia="Arial" w:hAnsi="Arial"/>
          <w:sz w:val="18"/>
          <w:szCs w:val="18"/>
          <w:color w:val="auto"/>
        </w:rPr>
      </w:pPr>
    </w:p>
    <w:p>
      <w:pPr>
        <w:ind w:left="214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279" w:lineRule="exact"/>
        <w:rPr>
          <w:rFonts w:ascii="Arial" w:cs="Arial" w:eastAsia="Arial" w:hAnsi="Arial"/>
          <w:sz w:val="18"/>
          <w:szCs w:val="18"/>
          <w:color w:val="auto"/>
        </w:rPr>
      </w:pPr>
    </w:p>
    <w:p>
      <w:pPr>
        <w:ind w:left="2140" w:hanging="1068"/>
        <w:spacing w:after="0"/>
        <w:tabs>
          <w:tab w:leader="none" w:pos="2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88" w:lineRule="exact"/>
        <w:rPr>
          <w:rFonts w:ascii="Arial" w:cs="Arial" w:eastAsia="Arial" w:hAnsi="Arial"/>
          <w:sz w:val="18"/>
          <w:szCs w:val="18"/>
          <w:color w:val="auto"/>
        </w:rPr>
      </w:pPr>
    </w:p>
    <w:p>
      <w:pPr>
        <w:ind w:left="2140"/>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96" w:lineRule="exact"/>
        <w:rPr>
          <w:rFonts w:ascii="Arial" w:cs="Arial" w:eastAsia="Arial" w:hAnsi="Arial"/>
          <w:sz w:val="18"/>
          <w:szCs w:val="18"/>
          <w:color w:val="auto"/>
        </w:rPr>
      </w:pPr>
    </w:p>
    <w:p>
      <w:pPr>
        <w:ind w:left="2140" w:right="7460" w:hanging="1068"/>
        <w:spacing w:after="0" w:line="648" w:lineRule="auto"/>
        <w:tabs>
          <w:tab w:leader="none" w:pos="2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CUSIP Number: 98980L101</w:t>
      </w:r>
    </w:p>
    <w:p>
      <w:pPr>
        <w:spacing w:after="0" w:line="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264" w:lineRule="exact"/>
        <w:rPr>
          <w:sz w:val="20"/>
          <w:szCs w:val="20"/>
          <w:color w:val="auto"/>
        </w:rPr>
      </w:pPr>
    </w:p>
    <w:p>
      <w:pPr>
        <w:ind w:left="2140" w:hanging="1068"/>
        <w:spacing w:after="0" w:line="207" w:lineRule="exact"/>
        <w:tabs>
          <w:tab w:leader="none" w:pos="214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292" w:lineRule="exact"/>
        <w:rPr>
          <w:rFonts w:ascii="Arial" w:cs="Arial" w:eastAsia="Arial" w:hAnsi="Arial"/>
          <w:sz w:val="18"/>
          <w:szCs w:val="18"/>
          <w:color w:val="auto"/>
        </w:rPr>
      </w:pPr>
    </w:p>
    <w:p>
      <w:pPr>
        <w:ind w:left="2140" w:hanging="1068"/>
        <w:spacing w:after="0" w:line="207" w:lineRule="exact"/>
        <w:tabs>
          <w:tab w:leader="none" w:pos="214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292" w:lineRule="exact"/>
        <w:rPr>
          <w:rFonts w:ascii="Arial" w:cs="Arial" w:eastAsia="Arial" w:hAnsi="Arial"/>
          <w:sz w:val="18"/>
          <w:szCs w:val="18"/>
          <w:color w:val="auto"/>
        </w:rPr>
      </w:pPr>
    </w:p>
    <w:p>
      <w:pPr>
        <w:ind w:left="2140" w:hanging="1068"/>
        <w:spacing w:after="0" w:line="207" w:lineRule="exact"/>
        <w:tabs>
          <w:tab w:leader="none" w:pos="214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117" w:lineRule="exact"/>
        <w:rPr>
          <w:rFonts w:ascii="Arial" w:cs="Arial" w:eastAsia="Arial" w:hAnsi="Arial"/>
          <w:sz w:val="18"/>
          <w:szCs w:val="18"/>
          <w:color w:val="auto"/>
        </w:rPr>
      </w:pPr>
    </w:p>
    <w:p>
      <w:pPr>
        <w:ind w:left="2140" w:hanging="1068"/>
        <w:spacing w:after="0" w:line="207" w:lineRule="exact"/>
        <w:tabs>
          <w:tab w:leader="none" w:pos="214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292" w:lineRule="exact"/>
        <w:rPr>
          <w:rFonts w:ascii="Arial" w:cs="Arial" w:eastAsia="Arial" w:hAnsi="Arial"/>
          <w:sz w:val="18"/>
          <w:szCs w:val="18"/>
          <w:color w:val="auto"/>
        </w:rPr>
      </w:pPr>
    </w:p>
    <w:p>
      <w:pPr>
        <w:ind w:left="2140" w:hanging="1068"/>
        <w:spacing w:after="0" w:line="207" w:lineRule="exact"/>
        <w:tabs>
          <w:tab w:leader="none" w:pos="214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292" w:lineRule="exact"/>
        <w:rPr>
          <w:rFonts w:ascii="Arial" w:cs="Arial" w:eastAsia="Arial" w:hAnsi="Arial"/>
          <w:sz w:val="18"/>
          <w:szCs w:val="18"/>
          <w:color w:val="auto"/>
        </w:rPr>
      </w:pPr>
    </w:p>
    <w:p>
      <w:pPr>
        <w:ind w:left="2140" w:hanging="1068"/>
        <w:spacing w:after="0" w:line="207" w:lineRule="exact"/>
        <w:tabs>
          <w:tab w:leader="none" w:pos="214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292" w:lineRule="exact"/>
        <w:rPr>
          <w:rFonts w:ascii="Arial" w:cs="Arial" w:eastAsia="Arial" w:hAnsi="Arial"/>
          <w:sz w:val="18"/>
          <w:szCs w:val="18"/>
          <w:color w:val="auto"/>
        </w:rPr>
      </w:pPr>
    </w:p>
    <w:p>
      <w:pPr>
        <w:ind w:left="2140" w:hanging="1068"/>
        <w:spacing w:after="0" w:line="207" w:lineRule="exact"/>
        <w:tabs>
          <w:tab w:leader="none" w:pos="214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292" w:lineRule="exact"/>
        <w:rPr>
          <w:rFonts w:ascii="Arial" w:cs="Arial" w:eastAsia="Arial" w:hAnsi="Arial"/>
          <w:sz w:val="18"/>
          <w:szCs w:val="18"/>
          <w:color w:val="auto"/>
        </w:rPr>
      </w:pPr>
    </w:p>
    <w:p>
      <w:pPr>
        <w:ind w:left="2140" w:hanging="1068"/>
        <w:spacing w:after="0" w:line="207" w:lineRule="exact"/>
        <w:tabs>
          <w:tab w:leader="none" w:pos="214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292" w:lineRule="exact"/>
        <w:rPr>
          <w:rFonts w:ascii="Arial" w:cs="Arial" w:eastAsia="Arial" w:hAnsi="Arial"/>
          <w:sz w:val="18"/>
          <w:szCs w:val="18"/>
          <w:color w:val="auto"/>
        </w:rPr>
      </w:pPr>
    </w:p>
    <w:p>
      <w:pPr>
        <w:ind w:left="2780" w:right="380" w:hanging="1708"/>
        <w:spacing w:after="0" w:line="203" w:lineRule="exact"/>
        <w:tabs>
          <w:tab w:leader="none" w:pos="2146"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w:t>
      </w:r>
    </w:p>
    <w:p>
      <w:pPr>
        <w:spacing w:after="0" w:line="269" w:lineRule="exact"/>
        <w:rPr>
          <w:rFonts w:ascii="Arial" w:cs="Arial" w:eastAsia="Arial" w:hAnsi="Arial"/>
          <w:sz w:val="18"/>
          <w:szCs w:val="18"/>
          <w:color w:val="auto"/>
        </w:rPr>
      </w:pPr>
    </w:p>
    <w:p>
      <w:pPr>
        <w:ind w:left="2140" w:hanging="1068"/>
        <w:spacing w:after="0" w:line="207" w:lineRule="exact"/>
        <w:tabs>
          <w:tab w:leader="none" w:pos="214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240.13d-1(b)(1)(ii)(J);</w:t>
      </w:r>
    </w:p>
    <w:p>
      <w:pPr>
        <w:spacing w:after="0" w:line="292" w:lineRule="exact"/>
        <w:rPr>
          <w:rFonts w:ascii="Arial" w:cs="Arial" w:eastAsia="Arial" w:hAnsi="Arial"/>
          <w:sz w:val="18"/>
          <w:szCs w:val="18"/>
          <w:color w:val="auto"/>
        </w:rPr>
      </w:pPr>
    </w:p>
    <w:p>
      <w:pPr>
        <w:ind w:left="2780" w:right="220" w:hanging="1708"/>
        <w:spacing w:after="0" w:line="203" w:lineRule="exact"/>
        <w:tabs>
          <w:tab w:leader="none" w:pos="2146"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Group, in accordance with Rule 240.13d-1(b)(1)(ii)(K). If filing as a non-U.S. institution in accordance with Rule 240.13d-1(b)(1)(ii)(J), please specify the type of institution:</w:t>
      </w:r>
    </w:p>
    <w:p>
      <w:pPr>
        <w:sectPr>
          <w:pgSz w:w="11900" w:h="16838" w:orient="portrait"/>
          <w:cols w:equalWidth="0" w:num="1">
            <w:col w:w="10800"/>
          </w:cols>
          <w:pgMar w:left="340" w:top="166" w:right="759" w:bottom="1440" w:gutter="0" w:footer="0" w:header="0"/>
        </w:sectPr>
      </w:pPr>
    </w:p>
    <w:bookmarkStart w:id="4" w:name="page5"/>
    <w:bookmarkEnd w:id="4"/>
    <w:p>
      <w:pPr>
        <w:ind w:left="20"/>
        <w:spacing w:after="0"/>
        <w:tabs>
          <w:tab w:leader="none" w:pos="4940" w:val="left"/>
          <w:tab w:leader="none" w:pos="9980" w:val="left"/>
        </w:tabs>
        <w:rPr>
          <w:sz w:val="20"/>
          <w:szCs w:val="20"/>
          <w:color w:val="auto"/>
        </w:rPr>
      </w:pPr>
      <w:r>
        <w:rPr>
          <w:rFonts w:ascii="Arial" w:cs="Arial" w:eastAsia="Arial" w:hAnsi="Arial"/>
          <w:sz w:val="18"/>
          <w:szCs w:val="18"/>
          <w:color w:val="auto"/>
        </w:rPr>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6</w:t>
      </w:r>
    </w:p>
    <w:p>
      <w:pPr>
        <w:spacing w:after="0" w:line="200" w:lineRule="exact"/>
        <w:rPr>
          <w:sz w:val="20"/>
          <w:szCs w:val="20"/>
          <w:color w:val="auto"/>
        </w:rPr>
      </w:pPr>
    </w:p>
    <w:p>
      <w:pPr>
        <w:spacing w:after="0" w:line="363"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If filing as a non-U.S. institution in accordance with §240.13d-1(b)(1)(ii)(J), please specify the type of institution:</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640" w:type="dxa"/>
            <w:vAlign w:val="bottom"/>
          </w:tcPr>
          <w:p>
            <w:pPr>
              <w:ind w:left="220"/>
              <w:spacing w:after="0"/>
              <w:rPr>
                <w:sz w:val="20"/>
                <w:szCs w:val="20"/>
                <w:color w:val="auto"/>
              </w:rPr>
            </w:pPr>
            <w:r>
              <w:rPr>
                <w:rFonts w:ascii="Arial" w:cs="Arial" w:eastAsia="Arial" w:hAnsi="Arial"/>
                <w:sz w:val="18"/>
                <w:szCs w:val="18"/>
                <w:b w:val="1"/>
                <w:bCs w:val="1"/>
                <w:color w:val="auto"/>
              </w:rPr>
              <w:t>Ownership.</w:t>
            </w:r>
          </w:p>
        </w:tc>
        <w:tc>
          <w:tcPr>
            <w:tcW w:w="8060" w:type="dxa"/>
            <w:vAlign w:val="bottom"/>
          </w:tcPr>
          <w:p>
            <w:pPr>
              <w:spacing w:after="0"/>
              <w:rPr>
                <w:sz w:val="20"/>
                <w:szCs w:val="20"/>
                <w:color w:val="auto"/>
              </w:rPr>
            </w:pPr>
          </w:p>
        </w:tc>
      </w:tr>
      <w:tr>
        <w:trPr>
          <w:trHeight w:val="499"/>
        </w:trPr>
        <w:tc>
          <w:tcPr>
            <w:tcW w:w="860" w:type="dxa"/>
            <w:vAlign w:val="bottom"/>
          </w:tcPr>
          <w:p>
            <w:pPr>
              <w:spacing w:after="0"/>
              <w:rPr>
                <w:sz w:val="24"/>
                <w:szCs w:val="24"/>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auto"/>
              </w:rPr>
              <w:t>(a) - (c)</w:t>
            </w:r>
          </w:p>
        </w:tc>
        <w:tc>
          <w:tcPr>
            <w:tcW w:w="8060" w:type="dxa"/>
            <w:vAlign w:val="bottom"/>
          </w:tcPr>
          <w:p>
            <w:pPr>
              <w:ind w:left="280"/>
              <w:spacing w:after="0"/>
              <w:rPr>
                <w:sz w:val="20"/>
                <w:szCs w:val="20"/>
                <w:color w:val="auto"/>
              </w:rPr>
            </w:pPr>
            <w:r>
              <w:rPr>
                <w:rFonts w:ascii="Arial" w:cs="Arial" w:eastAsia="Arial" w:hAnsi="Arial"/>
                <w:sz w:val="18"/>
                <w:szCs w:val="18"/>
                <w:color w:val="auto"/>
              </w:rPr>
              <w:t>Amount beneficially owned:</w:t>
            </w:r>
          </w:p>
        </w:tc>
      </w:tr>
      <w:tr>
        <w:trPr>
          <w:trHeight w:val="176"/>
        </w:trPr>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60" w:type="dxa"/>
            <w:vAlign w:val="bottom"/>
          </w:tcPr>
          <w:p>
            <w:pPr>
              <w:ind w:left="280"/>
              <w:spacing w:after="0" w:line="176" w:lineRule="exact"/>
              <w:rPr>
                <w:sz w:val="20"/>
                <w:szCs w:val="20"/>
                <w:color w:val="auto"/>
              </w:rPr>
            </w:pPr>
            <w:r>
              <w:rPr>
                <w:rFonts w:ascii="Arial" w:cs="Arial" w:eastAsia="Arial" w:hAnsi="Arial"/>
                <w:sz w:val="18"/>
                <w:szCs w:val="18"/>
                <w:color w:val="auto"/>
                <w:w w:val="91"/>
              </w:rPr>
              <w:t>Mr. Yuan directly owns, and has sole voting and dispositive power over, 1,070 shares of Class A Common</w:t>
            </w:r>
          </w:p>
        </w:tc>
      </w:tr>
      <w:tr>
        <w:trPr>
          <w:trHeight w:val="175"/>
        </w:trPr>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60" w:type="dxa"/>
            <w:vAlign w:val="bottom"/>
          </w:tcPr>
          <w:p>
            <w:pPr>
              <w:ind w:left="280"/>
              <w:spacing w:after="0" w:line="176" w:lineRule="exact"/>
              <w:rPr>
                <w:sz w:val="20"/>
                <w:szCs w:val="20"/>
                <w:color w:val="auto"/>
              </w:rPr>
            </w:pPr>
            <w:r>
              <w:rPr>
                <w:rFonts w:ascii="Arial" w:cs="Arial" w:eastAsia="Arial" w:hAnsi="Arial"/>
                <w:sz w:val="18"/>
                <w:szCs w:val="18"/>
                <w:color w:val="auto"/>
                <w:w w:val="89"/>
              </w:rPr>
              <w:t>Stock, representing less than 1% of the Class A Shares of Common Stock. Ms. Wang directly owns, and has</w:t>
            </w:r>
          </w:p>
        </w:tc>
      </w:tr>
      <w:tr>
        <w:trPr>
          <w:trHeight w:val="176"/>
        </w:trPr>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60" w:type="dxa"/>
            <w:vAlign w:val="bottom"/>
          </w:tcPr>
          <w:p>
            <w:pPr>
              <w:ind w:left="280"/>
              <w:spacing w:after="0" w:line="176" w:lineRule="exact"/>
              <w:rPr>
                <w:sz w:val="20"/>
                <w:szCs w:val="20"/>
                <w:color w:val="auto"/>
              </w:rPr>
            </w:pPr>
            <w:r>
              <w:rPr>
                <w:rFonts w:ascii="Arial" w:cs="Arial" w:eastAsia="Arial" w:hAnsi="Arial"/>
                <w:sz w:val="18"/>
                <w:szCs w:val="18"/>
                <w:color w:val="auto"/>
                <w:w w:val="91"/>
              </w:rPr>
              <w:t>sole voting and dispositive power over, 1,000 shares of Class A Common Stock, representing less than 1%</w:t>
            </w:r>
          </w:p>
        </w:tc>
      </w:tr>
      <w:tr>
        <w:trPr>
          <w:trHeight w:val="176"/>
        </w:trPr>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60" w:type="dxa"/>
            <w:vAlign w:val="bottom"/>
          </w:tcPr>
          <w:p>
            <w:pPr>
              <w:ind w:left="280"/>
              <w:spacing w:after="0" w:line="176" w:lineRule="exact"/>
              <w:rPr>
                <w:sz w:val="20"/>
                <w:szCs w:val="20"/>
                <w:color w:val="auto"/>
              </w:rPr>
            </w:pPr>
            <w:r>
              <w:rPr>
                <w:rFonts w:ascii="Arial" w:cs="Arial" w:eastAsia="Arial" w:hAnsi="Arial"/>
                <w:sz w:val="18"/>
                <w:szCs w:val="18"/>
                <w:color w:val="auto"/>
                <w:w w:val="90"/>
              </w:rPr>
              <w:t>of the Class A Shares of Common Stock. Mr. Yuan and Ms. Wang have shared voting and dispositive power</w:t>
            </w:r>
          </w:p>
        </w:tc>
      </w:tr>
      <w:tr>
        <w:trPr>
          <w:trHeight w:val="175"/>
        </w:trPr>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60" w:type="dxa"/>
            <w:vAlign w:val="bottom"/>
          </w:tcPr>
          <w:p>
            <w:pPr>
              <w:ind w:left="280"/>
              <w:spacing w:after="0" w:line="176" w:lineRule="exact"/>
              <w:rPr>
                <w:sz w:val="20"/>
                <w:szCs w:val="20"/>
                <w:color w:val="auto"/>
              </w:rPr>
            </w:pPr>
            <w:r>
              <w:rPr>
                <w:rFonts w:ascii="Arial" w:cs="Arial" w:eastAsia="Arial" w:hAnsi="Arial"/>
                <w:sz w:val="18"/>
                <w:szCs w:val="18"/>
                <w:color w:val="auto"/>
                <w:w w:val="96"/>
              </w:rPr>
              <w:t>over 22,587,156 shares of Class A Common Stock held in trusts for which they serve as costrustees,</w:t>
            </w:r>
          </w:p>
        </w:tc>
      </w:tr>
      <w:tr>
        <w:trPr>
          <w:trHeight w:val="230"/>
        </w:trPr>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color w:val="auto"/>
              </w:rPr>
              <w:t>representing 9.6% of the shares of Class A of Common Stock.</w:t>
            </w:r>
          </w:p>
        </w:tc>
      </w:tr>
      <w:tr>
        <w:trPr>
          <w:trHeight w:val="498"/>
        </w:trPr>
        <w:tc>
          <w:tcPr>
            <w:tcW w:w="8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700" w:type="dxa"/>
            <w:vAlign w:val="bottom"/>
            <w:gridSpan w:val="2"/>
          </w:tcPr>
          <w:p>
            <w:pPr>
              <w:ind w:left="22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176"/>
        </w:trPr>
        <w:tc>
          <w:tcPr>
            <w:tcW w:w="860" w:type="dxa"/>
            <w:vAlign w:val="bottom"/>
          </w:tcPr>
          <w:p>
            <w:pPr>
              <w:spacing w:after="0"/>
              <w:rPr>
                <w:sz w:val="15"/>
                <w:szCs w:val="15"/>
                <w:color w:val="auto"/>
              </w:rPr>
            </w:pPr>
          </w:p>
        </w:tc>
        <w:tc>
          <w:tcPr>
            <w:tcW w:w="970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89"/>
              </w:rPr>
              <w:t>If this statement is being filed to report the fact that as of the date here of the reporting person has ceased to be the beneficial owner</w:t>
            </w:r>
          </w:p>
        </w:tc>
      </w:tr>
      <w:tr>
        <w:trPr>
          <w:trHeight w:val="283"/>
        </w:trPr>
        <w:tc>
          <w:tcPr>
            <w:tcW w:w="860" w:type="dxa"/>
            <w:vAlign w:val="bottom"/>
          </w:tcPr>
          <w:p>
            <w:pPr>
              <w:spacing w:after="0"/>
              <w:rPr>
                <w:sz w:val="24"/>
                <w:szCs w:val="24"/>
                <w:color w:val="auto"/>
              </w:rPr>
            </w:pPr>
          </w:p>
        </w:tc>
        <w:tc>
          <w:tcPr>
            <w:tcW w:w="970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of more than five percent of the class of securities, check the following. </w:t>
            </w:r>
            <w:r>
              <w:rPr>
                <w:rFonts w:ascii="MS PGothic" w:cs="MS PGothic" w:eastAsia="MS PGothic" w:hAnsi="MS PGothic"/>
                <w:sz w:val="18"/>
                <w:szCs w:val="18"/>
                <w:color w:val="auto"/>
              </w:rPr>
              <w:t>☐</w:t>
            </w:r>
          </w:p>
        </w:tc>
      </w:tr>
      <w:tr>
        <w:trPr>
          <w:trHeight w:val="445"/>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700" w:type="dxa"/>
            <w:vAlign w:val="bottom"/>
            <w:gridSpan w:val="2"/>
          </w:tcPr>
          <w:p>
            <w:pPr>
              <w:ind w:left="2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860" w:type="dxa"/>
            <w:vAlign w:val="bottom"/>
          </w:tcPr>
          <w:p>
            <w:pPr>
              <w:spacing w:after="0"/>
              <w:rPr>
                <w:sz w:val="20"/>
                <w:szCs w:val="20"/>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auto"/>
              </w:rPr>
              <w:t>Not Applicable.</w:t>
            </w:r>
          </w:p>
        </w:tc>
        <w:tc>
          <w:tcPr>
            <w:tcW w:w="8060" w:type="dxa"/>
            <w:vAlign w:val="bottom"/>
          </w:tcPr>
          <w:p>
            <w:pPr>
              <w:spacing w:after="0"/>
              <w:rPr>
                <w:sz w:val="20"/>
                <w:szCs w:val="20"/>
                <w:color w:val="auto"/>
              </w:rPr>
            </w:pPr>
          </w:p>
        </w:tc>
      </w:tr>
      <w:tr>
        <w:trPr>
          <w:trHeight w:val="445"/>
        </w:trPr>
        <w:tc>
          <w:tcPr>
            <w:tcW w:w="8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700" w:type="dxa"/>
            <w:vAlign w:val="bottom"/>
            <w:gridSpan w:val="2"/>
          </w:tcPr>
          <w:p>
            <w:pPr>
              <w:ind w:left="220"/>
              <w:spacing w:after="0"/>
              <w:rPr>
                <w:sz w:val="20"/>
                <w:szCs w:val="20"/>
                <w:color w:val="auto"/>
              </w:rPr>
            </w:pPr>
            <w:r>
              <w:rPr>
                <w:rFonts w:ascii="Arial" w:cs="Arial" w:eastAsia="Arial" w:hAnsi="Arial"/>
                <w:sz w:val="18"/>
                <w:szCs w:val="18"/>
                <w:b w:val="1"/>
                <w:bCs w:val="1"/>
                <w:color w:val="auto"/>
                <w:w w:val="91"/>
              </w:rPr>
              <w:t>Identification and Classification of the Subsidiary Which Acquired the Security Being Reported on by the Parent Holding</w:t>
            </w:r>
          </w:p>
        </w:tc>
      </w:tr>
      <w:tr>
        <w:trPr>
          <w:trHeight w:val="229"/>
        </w:trPr>
        <w:tc>
          <w:tcPr>
            <w:tcW w:w="86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Arial" w:cs="Arial" w:eastAsia="Arial" w:hAnsi="Arial"/>
                <w:sz w:val="18"/>
                <w:szCs w:val="18"/>
                <w:b w:val="1"/>
                <w:bCs w:val="1"/>
                <w:color w:val="auto"/>
              </w:rPr>
              <w:t>Company or Control Person.</w:t>
            </w:r>
          </w:p>
        </w:tc>
      </w:tr>
      <w:tr>
        <w:trPr>
          <w:trHeight w:val="230"/>
        </w:trPr>
        <w:tc>
          <w:tcPr>
            <w:tcW w:w="860" w:type="dxa"/>
            <w:vAlign w:val="bottom"/>
          </w:tcPr>
          <w:p>
            <w:pPr>
              <w:spacing w:after="0"/>
              <w:rPr>
                <w:sz w:val="20"/>
                <w:szCs w:val="20"/>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auto"/>
              </w:rPr>
              <w:t>Not Applicable.</w:t>
            </w:r>
          </w:p>
        </w:tc>
        <w:tc>
          <w:tcPr>
            <w:tcW w:w="8060" w:type="dxa"/>
            <w:vAlign w:val="bottom"/>
          </w:tcPr>
          <w:p>
            <w:pPr>
              <w:spacing w:after="0"/>
              <w:rPr>
                <w:sz w:val="20"/>
                <w:szCs w:val="20"/>
                <w:color w:val="auto"/>
              </w:rPr>
            </w:pPr>
          </w:p>
        </w:tc>
      </w:tr>
      <w:tr>
        <w:trPr>
          <w:trHeight w:val="499"/>
        </w:trPr>
        <w:tc>
          <w:tcPr>
            <w:tcW w:w="8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700" w:type="dxa"/>
            <w:vAlign w:val="bottom"/>
            <w:gridSpan w:val="2"/>
          </w:tcPr>
          <w:p>
            <w:pPr>
              <w:ind w:left="2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860" w:type="dxa"/>
            <w:vAlign w:val="bottom"/>
          </w:tcPr>
          <w:p>
            <w:pPr>
              <w:spacing w:after="0"/>
              <w:rPr>
                <w:sz w:val="20"/>
                <w:szCs w:val="20"/>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auto"/>
              </w:rPr>
              <w:t>Not Applicable.</w:t>
            </w:r>
          </w:p>
        </w:tc>
        <w:tc>
          <w:tcPr>
            <w:tcW w:w="8060" w:type="dxa"/>
            <w:vAlign w:val="bottom"/>
          </w:tcPr>
          <w:p>
            <w:pPr>
              <w:spacing w:after="0"/>
              <w:rPr>
                <w:sz w:val="20"/>
                <w:szCs w:val="20"/>
                <w:color w:val="auto"/>
              </w:rPr>
            </w:pPr>
          </w:p>
        </w:tc>
      </w:tr>
      <w:tr>
        <w:trPr>
          <w:trHeight w:val="499"/>
        </w:trPr>
        <w:tc>
          <w:tcPr>
            <w:tcW w:w="8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700" w:type="dxa"/>
            <w:vAlign w:val="bottom"/>
            <w:gridSpan w:val="2"/>
          </w:tcPr>
          <w:p>
            <w:pPr>
              <w:ind w:left="22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860" w:type="dxa"/>
            <w:vAlign w:val="bottom"/>
          </w:tcPr>
          <w:p>
            <w:pPr>
              <w:spacing w:after="0"/>
              <w:rPr>
                <w:sz w:val="20"/>
                <w:szCs w:val="20"/>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auto"/>
              </w:rPr>
              <w:t>Not Applicable.</w:t>
            </w:r>
          </w:p>
        </w:tc>
        <w:tc>
          <w:tcPr>
            <w:tcW w:w="8060" w:type="dxa"/>
            <w:vAlign w:val="bottom"/>
          </w:tcPr>
          <w:p>
            <w:pPr>
              <w:spacing w:after="0"/>
              <w:rPr>
                <w:sz w:val="20"/>
                <w:szCs w:val="20"/>
                <w:color w:val="auto"/>
              </w:rPr>
            </w:pPr>
          </w:p>
        </w:tc>
      </w:tr>
      <w:tr>
        <w:trPr>
          <w:trHeight w:val="499"/>
        </w:trPr>
        <w:tc>
          <w:tcPr>
            <w:tcW w:w="8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640" w:type="dxa"/>
            <w:vAlign w:val="bottom"/>
          </w:tcPr>
          <w:p>
            <w:pPr>
              <w:ind w:left="220"/>
              <w:spacing w:after="0"/>
              <w:rPr>
                <w:sz w:val="20"/>
                <w:szCs w:val="20"/>
                <w:color w:val="auto"/>
              </w:rPr>
            </w:pPr>
            <w:r>
              <w:rPr>
                <w:rFonts w:ascii="Arial" w:cs="Arial" w:eastAsia="Arial" w:hAnsi="Arial"/>
                <w:sz w:val="18"/>
                <w:szCs w:val="18"/>
                <w:b w:val="1"/>
                <w:bCs w:val="1"/>
                <w:color w:val="auto"/>
              </w:rPr>
              <w:t>Certification.</w:t>
            </w:r>
          </w:p>
        </w:tc>
        <w:tc>
          <w:tcPr>
            <w:tcW w:w="8060" w:type="dxa"/>
            <w:vAlign w:val="bottom"/>
          </w:tcPr>
          <w:p>
            <w:pPr>
              <w:spacing w:after="0"/>
              <w:rPr>
                <w:sz w:val="24"/>
                <w:szCs w:val="24"/>
                <w:color w:val="auto"/>
              </w:rPr>
            </w:pPr>
          </w:p>
        </w:tc>
      </w:tr>
      <w:tr>
        <w:trPr>
          <w:trHeight w:val="230"/>
        </w:trPr>
        <w:tc>
          <w:tcPr>
            <w:tcW w:w="860" w:type="dxa"/>
            <w:vAlign w:val="bottom"/>
          </w:tcPr>
          <w:p>
            <w:pPr>
              <w:spacing w:after="0"/>
              <w:rPr>
                <w:sz w:val="20"/>
                <w:szCs w:val="20"/>
                <w:color w:val="auto"/>
              </w:rPr>
            </w:pPr>
          </w:p>
        </w:tc>
        <w:tc>
          <w:tcPr>
            <w:tcW w:w="1640" w:type="dxa"/>
            <w:vAlign w:val="bottom"/>
          </w:tcPr>
          <w:p>
            <w:pPr>
              <w:ind w:left="220"/>
              <w:spacing w:after="0"/>
              <w:rPr>
                <w:sz w:val="20"/>
                <w:szCs w:val="20"/>
                <w:color w:val="auto"/>
              </w:rPr>
            </w:pPr>
            <w:r>
              <w:rPr>
                <w:rFonts w:ascii="Arial" w:cs="Arial" w:eastAsia="Arial" w:hAnsi="Arial"/>
                <w:sz w:val="18"/>
                <w:szCs w:val="18"/>
                <w:color w:val="auto"/>
              </w:rPr>
              <w:t>Not Applicable.</w:t>
            </w:r>
          </w:p>
        </w:tc>
        <w:tc>
          <w:tcPr>
            <w:tcW w:w="806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2021</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Bin Yuan</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Bin Yuan</w:t>
      </w: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Cathy Z. Wang</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Cathy Z. Wang</w:t>
      </w:r>
    </w:p>
    <w:p>
      <w:pPr>
        <w:sectPr>
          <w:pgSz w:w="11900" w:h="16838" w:orient="portrait"/>
          <w:cols w:equalWidth="0" w:num="1">
            <w:col w:w="10920"/>
          </w:cols>
          <w:pgMar w:left="320" w:top="166" w:right="659" w:bottom="1440" w:gutter="0" w:footer="0" w:header="0"/>
        </w:sectPr>
      </w:pPr>
    </w:p>
    <w:bookmarkStart w:id="5" w:name="page6"/>
    <w:bookmarkEnd w:id="5"/>
    <w:p>
      <w:pPr>
        <w:ind w:left="20"/>
        <w:spacing w:after="0"/>
        <w:tabs>
          <w:tab w:leader="none" w:pos="4940" w:val="left"/>
          <w:tab w:leader="none" w:pos="9980" w:val="left"/>
        </w:tabs>
        <w:rPr>
          <w:sz w:val="20"/>
          <w:szCs w:val="20"/>
          <w:color w:val="auto"/>
        </w:rPr>
      </w:pPr>
      <w:r>
        <w:rPr>
          <w:rFonts w:ascii="Arial" w:cs="Arial" w:eastAsia="Arial" w:hAnsi="Arial"/>
          <w:sz w:val="18"/>
          <w:szCs w:val="18"/>
          <w:color w:val="auto"/>
        </w:rPr>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6 of 6</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39" w:lineRule="exact"/>
        <w:rPr>
          <w:sz w:val="20"/>
          <w:szCs w:val="20"/>
          <w:color w:val="auto"/>
        </w:rPr>
      </w:pPr>
    </w:p>
    <w:p>
      <w:pPr>
        <w:ind w:right="100" w:firstLine="441"/>
        <w:spacing w:after="0" w:line="248" w:lineRule="auto"/>
        <w:rPr>
          <w:sz w:val="20"/>
          <w:szCs w:val="20"/>
          <w:color w:val="auto"/>
        </w:rPr>
      </w:pPr>
      <w:r>
        <w:rPr>
          <w:rFonts w:ascii="Arial" w:cs="Arial" w:eastAsia="Arial" w:hAnsi="Arial"/>
          <w:sz w:val="18"/>
          <w:szCs w:val="18"/>
          <w:color w:val="auto"/>
        </w:rPr>
        <w:t>Pursuant to Rule 13d-1(k)(1) under the Securities Exchange Act of 1934 as amended, the undersigned hereby agree that only one statement containing information required by Schedule 13G needs to be filed with respect to the ownership by each of the undersigned of shares of Class A common stock of Zoom Video Communications, Inc.</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2021</w:t>
      </w:r>
    </w:p>
    <w:p>
      <w:pPr>
        <w:spacing w:after="0" w:line="200" w:lineRule="exact"/>
        <w:rPr>
          <w:sz w:val="20"/>
          <w:szCs w:val="20"/>
          <w:color w:val="auto"/>
        </w:rPr>
      </w:pPr>
    </w:p>
    <w:p>
      <w:pPr>
        <w:spacing w:after="0" w:line="34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Bin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Bin Yuan</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Cathy Z.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Cathy Z. Wang</w:t>
      </w:r>
    </w:p>
    <w:sectPr>
      <w:pgSz w:w="11900" w:h="16838" w:orient="portrait"/>
      <w:cols w:equalWidth="0" w:num="1">
        <w:col w:w="11240"/>
      </w:cols>
      <w:pgMar w:left="320" w:top="1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3"/>
    </w:lvl>
    <w:lvl w:ilvl="1">
      <w:lvlJc w:val="left"/>
      <w:lvlText w:val="%2."/>
      <w:numFmt w:val="decimal"/>
      <w:start w:val="5"/>
    </w:lvl>
  </w:abstractNum>
  <w:abstractNum w:abstractNumId="5">
    <w:nsid w:val="66EF438D"/>
    <w:multiLevelType w:val="hybridMultilevel"/>
    <w:lvl w:ilvl="0">
      <w:lvlJc w:val="left"/>
      <w:lvlText w:val="%1."/>
      <w:numFmt w:val="decimal"/>
      <w:start w:val="10"/>
    </w:lvl>
  </w:abstractNum>
  <w:abstractNum w:abstractNumId="6">
    <w:nsid w:val="140E0F76"/>
    <w:multiLevelType w:val="hybridMultilevel"/>
    <w:lvl w:ilvl="0">
      <w:lvlJc w:val="left"/>
      <w:lvlText w:val="%1."/>
      <w:numFmt w:val="decimal"/>
      <w:start w:val="1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3"/>
    </w:lvl>
    <w:lvl w:ilvl="1">
      <w:lvlJc w:val="left"/>
      <w:lvlText w:val="%2."/>
      <w:numFmt w:val="decimal"/>
      <w:start w:val="5"/>
    </w:lvl>
  </w:abstractNum>
  <w:abstractNum w:abstractNumId="10">
    <w:nsid w:val="7FDCC233"/>
    <w:multiLevelType w:val="hybridMultilevel"/>
    <w:lvl w:ilvl="0">
      <w:lvlJc w:val="left"/>
      <w:lvlText w:val="%1."/>
      <w:numFmt w:val="decimal"/>
      <w:start w:val="10"/>
    </w:lvl>
  </w:abstractNum>
  <w:abstractNum w:abstractNumId="11">
    <w:nsid w:val="1BEFD79F"/>
    <w:multiLevelType w:val="hybridMultilevel"/>
    <w:lvl w:ilvl="0">
      <w:lvlJc w:val="left"/>
      <w:lvlText w:val="%1."/>
      <w:numFmt w:val="decimal"/>
      <w:start w:val="1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lvl w:ilvl="1">
      <w:lvlJc w:val="left"/>
      <w:lvlText w:val="(%2)"/>
      <w:numFmt w:val="lowerRoman"/>
      <w:start w:val="1"/>
    </w:lvl>
  </w:abstractNum>
  <w:abstractNum w:abstractNumId="16">
    <w:nsid w:val="519B500D"/>
    <w:multiLevelType w:val="hybridMultilevel"/>
    <w:lvl w:ilvl="0">
      <w:lvlJc w:val="left"/>
      <w:lvlText w:val="(%1)"/>
      <w:numFmt w:val="lowerLetter"/>
      <w:start w:val="2"/>
    </w:lvl>
    <w:lvl w:ilvl="1">
      <w:lvlJc w:val="left"/>
      <w:lvlText w:val="%2"/>
      <w:numFmt w:val="lowerRoman"/>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2021-03-22T16:21:00Z</dcterms:created>
  <dcterms:modified xsi:type="dcterms:W3CDTF">2021-03-22T16:21:00Z</dcterms:modified>
</cp:coreProperties>
</file>