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407025"/>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 Communications,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99"/>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1"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680" w:type="dxa"/>
            <w:vAlign w:val="bottom"/>
            <w:gridSpan w:val="8"/>
          </w:tcPr>
          <w:p>
            <w:pPr>
              <w:jc w:val="center"/>
              <w:ind w:right="119"/>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SAN JOSE</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tcPr>
          <w:p>
            <w:pPr>
              <w:spacing w:after="0"/>
              <w:rPr>
                <w:sz w:val="10"/>
                <w:szCs w:val="10"/>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95113</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(State)</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5"/>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5"/>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24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40" w:type="dxa"/>
            <w:vAlign w:val="bottom"/>
          </w:tcPr>
          <w:p>
            <w:pPr>
              <w:ind w:left="2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6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9"/>
              </w:rPr>
              <w:t>4,845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rPr>
              <w:t>02/27/2026</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4,845</w:t>
            </w: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5"/>
              </w:rPr>
              <w:t>4,845</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vesting RSU</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23,926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23,926</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18,858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18,858</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-2780030</wp:posOffset>
            </wp:positionV>
            <wp:extent cx="29210" cy="2785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85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performance-vesting restricted stock unit (the performance-vesting RSU)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27, 2026. The performance-vesting RSU is also subject to a service-based vesting requirement and will vest on April 9, 2026, subject to the Reporting Persons Continuous Service (as defined in the Issuers 2019 Equity Incentive Plan) on the vesting date.</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03/03/2026</w:t>
            </w:r>
          </w:p>
        </w:tc>
      </w:tr>
      <w:tr>
        <w:trPr>
          <w:trHeight w:val="20"/>
        </w:trPr>
        <w:tc>
          <w:tcPr>
            <w:tcW w:w="11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2026-03-03T19:01:15Z</dcterms:created>
  <dcterms:modified xsi:type="dcterms:W3CDTF">2026-03-03T19:01:15Z</dcterms:modified>
</cp:coreProperties>
</file>