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Pursuant to Section 13 or 15(d)</w:t>
      </w:r>
    </w:p>
    <w:p>
      <w:pPr>
        <w:jc w:val="center"/>
        <w:ind w:right="-2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620"/>
        <w:spacing w:after="0"/>
        <w:rPr>
          <w:sz w:val="20"/>
          <w:szCs w:val="20"/>
          <w:color w:val="auto"/>
        </w:rPr>
      </w:pPr>
      <w:r>
        <w:rPr>
          <w:rFonts w:ascii="Arial" w:cs="Arial" w:eastAsia="Arial" w:hAnsi="Arial"/>
          <w:sz w:val="22"/>
          <w:szCs w:val="22"/>
          <w:b w:val="1"/>
          <w:bCs w:val="1"/>
          <w:color w:val="auto"/>
        </w:rPr>
        <w:t>Date of Report (Date of earliest event reported): April 23,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Zoom Video Communications, Inc.</w:t>
      </w:r>
    </w:p>
    <w:p>
      <w:pPr>
        <w:spacing w:after="0" w:line="5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600" w:type="dxa"/>
        <w:tblCellMar>
          <w:top w:w="0" w:type="dxa"/>
          <w:left w:w="0" w:type="dxa"/>
          <w:bottom w:w="0" w:type="dxa"/>
          <w:right w:w="0" w:type="dxa"/>
        </w:tblCellMar>
      </w:tblPr>
      <w:tr>
        <w:trPr>
          <w:trHeight w:val="212"/>
        </w:trPr>
        <w:tc>
          <w:tcPr>
            <w:tcW w:w="2720" w:type="dxa"/>
            <w:vAlign w:val="bottom"/>
          </w:tcPr>
          <w:p>
            <w:pPr>
              <w:jc w:val="center"/>
              <w:ind w:right="79"/>
              <w:spacing w:after="0"/>
              <w:rPr>
                <w:sz w:val="20"/>
                <w:szCs w:val="20"/>
                <w:color w:val="auto"/>
              </w:rPr>
            </w:pPr>
            <w:r>
              <w:rPr>
                <w:rFonts w:ascii="Arial" w:cs="Arial" w:eastAsia="Arial" w:hAnsi="Arial"/>
                <w:sz w:val="18"/>
                <w:szCs w:val="18"/>
                <w:b w:val="1"/>
                <w:bCs w:val="1"/>
                <w:color w:val="auto"/>
                <w:w w:val="91"/>
              </w:rPr>
              <w:t>Delaware</w:t>
            </w:r>
          </w:p>
        </w:tc>
        <w:tc>
          <w:tcPr>
            <w:tcW w:w="4800" w:type="dxa"/>
            <w:vAlign w:val="bottom"/>
          </w:tcPr>
          <w:p>
            <w:pPr>
              <w:ind w:left="1920"/>
              <w:spacing w:after="0"/>
              <w:rPr>
                <w:sz w:val="20"/>
                <w:szCs w:val="20"/>
                <w:color w:val="auto"/>
              </w:rPr>
            </w:pPr>
            <w:r>
              <w:rPr>
                <w:rFonts w:ascii="Arial" w:cs="Arial" w:eastAsia="Arial" w:hAnsi="Arial"/>
                <w:sz w:val="18"/>
                <w:szCs w:val="18"/>
                <w:b w:val="1"/>
                <w:bCs w:val="1"/>
                <w:color w:val="auto"/>
              </w:rPr>
              <w:t>001-38865</w:t>
            </w:r>
          </w:p>
        </w:tc>
        <w:tc>
          <w:tcPr>
            <w:tcW w:w="1700" w:type="dxa"/>
            <w:vAlign w:val="bottom"/>
          </w:tcPr>
          <w:p>
            <w:pPr>
              <w:jc w:val="right"/>
              <w:ind w:right="41"/>
              <w:spacing w:after="0"/>
              <w:rPr>
                <w:sz w:val="20"/>
                <w:szCs w:val="20"/>
                <w:color w:val="auto"/>
              </w:rPr>
            </w:pPr>
            <w:r>
              <w:rPr>
                <w:rFonts w:ascii="Arial" w:cs="Arial" w:eastAsia="Arial" w:hAnsi="Arial"/>
                <w:sz w:val="18"/>
                <w:szCs w:val="18"/>
                <w:b w:val="1"/>
                <w:bCs w:val="1"/>
                <w:color w:val="auto"/>
              </w:rPr>
              <w:t>61-1648780</w:t>
            </w:r>
          </w:p>
        </w:tc>
      </w:tr>
      <w:tr>
        <w:trPr>
          <w:trHeight w:val="149"/>
        </w:trPr>
        <w:tc>
          <w:tcPr>
            <w:tcW w:w="27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4800" w:type="dxa"/>
            <w:vAlign w:val="bottom"/>
          </w:tcPr>
          <w:p>
            <w:pPr>
              <w:ind w:left="1900"/>
              <w:spacing w:after="0" w:line="149" w:lineRule="exact"/>
              <w:rPr>
                <w:sz w:val="20"/>
                <w:szCs w:val="20"/>
                <w:color w:val="auto"/>
              </w:rPr>
            </w:pPr>
            <w:r>
              <w:rPr>
                <w:rFonts w:ascii="Arial" w:cs="Arial" w:eastAsia="Arial" w:hAnsi="Arial"/>
                <w:sz w:val="14"/>
                <w:szCs w:val="14"/>
                <w:b w:val="1"/>
                <w:bCs w:val="1"/>
                <w:color w:val="auto"/>
              </w:rPr>
              <w:t>(Commission</w:t>
            </w:r>
          </w:p>
        </w:tc>
        <w:tc>
          <w:tcPr>
            <w:tcW w:w="1700" w:type="dxa"/>
            <w:vAlign w:val="bottom"/>
          </w:tcPr>
          <w:p>
            <w:pPr>
              <w:jc w:val="center"/>
              <w:ind w:left="5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720" w:type="dxa"/>
            <w:vAlign w:val="bottom"/>
          </w:tcPr>
          <w:p>
            <w:pPr>
              <w:jc w:val="center"/>
              <w:ind w:right="99"/>
              <w:spacing w:after="0"/>
              <w:rPr>
                <w:sz w:val="20"/>
                <w:szCs w:val="20"/>
                <w:color w:val="auto"/>
              </w:rPr>
            </w:pPr>
            <w:r>
              <w:rPr>
                <w:rFonts w:ascii="Arial" w:cs="Arial" w:eastAsia="Arial" w:hAnsi="Arial"/>
                <w:sz w:val="14"/>
                <w:szCs w:val="14"/>
                <w:b w:val="1"/>
                <w:bCs w:val="1"/>
                <w:color w:val="auto"/>
                <w:w w:val="94"/>
              </w:rPr>
              <w:t>of Incorporation)</w:t>
            </w:r>
          </w:p>
        </w:tc>
        <w:tc>
          <w:tcPr>
            <w:tcW w:w="4800" w:type="dxa"/>
            <w:vAlign w:val="bottom"/>
          </w:tcPr>
          <w:p>
            <w:pPr>
              <w:ind w:left="1900"/>
              <w:spacing w:after="0"/>
              <w:rPr>
                <w:sz w:val="20"/>
                <w:szCs w:val="20"/>
                <w:color w:val="auto"/>
              </w:rPr>
            </w:pPr>
            <w:r>
              <w:rPr>
                <w:rFonts w:ascii="Arial" w:cs="Arial" w:eastAsia="Arial" w:hAnsi="Arial"/>
                <w:sz w:val="14"/>
                <w:szCs w:val="14"/>
                <w:b w:val="1"/>
                <w:bCs w:val="1"/>
                <w:color w:val="auto"/>
              </w:rPr>
              <w:t>File Number)</w:t>
            </w: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2720" w:type="dxa"/>
            <w:vAlign w:val="bottom"/>
          </w:tcPr>
          <w:p>
            <w:pPr>
              <w:jc w:val="center"/>
              <w:ind w:right="99"/>
              <w:spacing w:after="0"/>
              <w:rPr>
                <w:sz w:val="20"/>
                <w:szCs w:val="20"/>
                <w:color w:val="auto"/>
              </w:rPr>
            </w:pPr>
            <w:r>
              <w:rPr>
                <w:rFonts w:ascii="Arial" w:cs="Arial" w:eastAsia="Arial" w:hAnsi="Arial"/>
                <w:sz w:val="18"/>
                <w:szCs w:val="18"/>
                <w:b w:val="1"/>
                <w:bCs w:val="1"/>
                <w:color w:val="auto"/>
                <w:w w:val="91"/>
              </w:rPr>
              <w:t>55 Almaden Boulevard, 6</w:t>
            </w:r>
            <w:r>
              <w:rPr>
                <w:rFonts w:ascii="Arial" w:cs="Arial" w:eastAsia="Arial" w:hAnsi="Arial"/>
                <w:sz w:val="15"/>
                <w:szCs w:val="15"/>
                <w:b w:val="1"/>
                <w:bCs w:val="1"/>
                <w:color w:val="auto"/>
                <w:w w:val="91"/>
              </w:rPr>
              <w:t>th</w:t>
            </w:r>
            <w:r>
              <w:rPr>
                <w:rFonts w:ascii="Arial" w:cs="Arial" w:eastAsia="Arial" w:hAnsi="Arial"/>
                <w:sz w:val="18"/>
                <w:szCs w:val="18"/>
                <w:b w:val="1"/>
                <w:bCs w:val="1"/>
                <w:color w:val="auto"/>
                <w:w w:val="91"/>
              </w:rPr>
              <w:t xml:space="preserve"> Floor</w:t>
            </w:r>
          </w:p>
        </w:tc>
        <w:tc>
          <w:tcPr>
            <w:tcW w:w="48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5"/>
        </w:trPr>
        <w:tc>
          <w:tcPr>
            <w:tcW w:w="2720" w:type="dxa"/>
            <w:vAlign w:val="bottom"/>
          </w:tcPr>
          <w:p>
            <w:pPr>
              <w:jc w:val="center"/>
              <w:ind w:right="99"/>
              <w:spacing w:after="0"/>
              <w:rPr>
                <w:sz w:val="20"/>
                <w:szCs w:val="20"/>
                <w:color w:val="auto"/>
              </w:rPr>
            </w:pPr>
            <w:r>
              <w:rPr>
                <w:rFonts w:ascii="Arial" w:cs="Arial" w:eastAsia="Arial" w:hAnsi="Arial"/>
                <w:sz w:val="18"/>
                <w:szCs w:val="18"/>
                <w:b w:val="1"/>
                <w:bCs w:val="1"/>
                <w:color w:val="auto"/>
                <w:w w:val="89"/>
              </w:rPr>
              <w:t>San Jose, California</w:t>
            </w:r>
          </w:p>
        </w:tc>
        <w:tc>
          <w:tcPr>
            <w:tcW w:w="4800" w:type="dxa"/>
            <w:vAlign w:val="bottom"/>
          </w:tcPr>
          <w:p>
            <w:pPr>
              <w:spacing w:after="0"/>
              <w:rPr>
                <w:sz w:val="19"/>
                <w:szCs w:val="19"/>
                <w:color w:val="auto"/>
              </w:rPr>
            </w:pPr>
          </w:p>
        </w:tc>
        <w:tc>
          <w:tcPr>
            <w:tcW w:w="1700" w:type="dxa"/>
            <w:vAlign w:val="bottom"/>
          </w:tcPr>
          <w:p>
            <w:pPr>
              <w:jc w:val="right"/>
              <w:ind w:right="261"/>
              <w:spacing w:after="0"/>
              <w:rPr>
                <w:sz w:val="20"/>
                <w:szCs w:val="20"/>
                <w:color w:val="auto"/>
              </w:rPr>
            </w:pPr>
            <w:r>
              <w:rPr>
                <w:rFonts w:ascii="Arial" w:cs="Arial" w:eastAsia="Arial" w:hAnsi="Arial"/>
                <w:sz w:val="18"/>
                <w:szCs w:val="18"/>
                <w:b w:val="1"/>
                <w:bCs w:val="1"/>
                <w:color w:val="auto"/>
              </w:rPr>
              <w:t>95113</w:t>
            </w:r>
          </w:p>
        </w:tc>
      </w:tr>
      <w:tr>
        <w:trPr>
          <w:trHeight w:val="186"/>
        </w:trPr>
        <w:tc>
          <w:tcPr>
            <w:tcW w:w="2720" w:type="dxa"/>
            <w:vAlign w:val="bottom"/>
          </w:tcPr>
          <w:p>
            <w:pPr>
              <w:jc w:val="center"/>
              <w:ind w:right="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800" w:type="dxa"/>
            <w:vAlign w:val="bottom"/>
          </w:tcPr>
          <w:p>
            <w:pPr>
              <w:spacing w:after="0"/>
              <w:rPr>
                <w:sz w:val="16"/>
                <w:szCs w:val="16"/>
                <w:color w:val="auto"/>
              </w:rPr>
            </w:pP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8"/>
              </w:rPr>
              <w:t>(Zip Code)</w:t>
            </w:r>
          </w:p>
        </w:tc>
      </w:tr>
      <w:tr>
        <w:trPr>
          <w:trHeight w:val="394"/>
        </w:trPr>
        <w:tc>
          <w:tcPr>
            <w:tcW w:w="2720" w:type="dxa"/>
            <w:vAlign w:val="bottom"/>
          </w:tcPr>
          <w:p>
            <w:pPr>
              <w:spacing w:after="0"/>
              <w:rPr>
                <w:sz w:val="24"/>
                <w:szCs w:val="24"/>
                <w:color w:val="auto"/>
              </w:rPr>
            </w:pPr>
          </w:p>
        </w:tc>
        <w:tc>
          <w:tcPr>
            <w:tcW w:w="4800" w:type="dxa"/>
            <w:vAlign w:val="bottom"/>
          </w:tcPr>
          <w:p>
            <w:pPr>
              <w:jc w:val="center"/>
              <w:ind w:right="320"/>
              <w:spacing w:after="0"/>
              <w:rPr>
                <w:sz w:val="20"/>
                <w:szCs w:val="20"/>
                <w:color w:val="auto"/>
              </w:rPr>
            </w:pPr>
            <w:r>
              <w:rPr>
                <w:rFonts w:ascii="Arial" w:cs="Arial" w:eastAsia="Arial" w:hAnsi="Arial"/>
                <w:sz w:val="18"/>
                <w:szCs w:val="18"/>
                <w:b w:val="1"/>
                <w:bCs w:val="1"/>
                <w:color w:val="auto"/>
                <w:w w:val="90"/>
              </w:rPr>
              <w:t>(888) 799-9666</w:t>
            </w:r>
          </w:p>
        </w:tc>
        <w:tc>
          <w:tcPr>
            <w:tcW w:w="1700" w:type="dxa"/>
            <w:vAlign w:val="bottom"/>
          </w:tcPr>
          <w:p>
            <w:pPr>
              <w:spacing w:after="0"/>
              <w:rPr>
                <w:sz w:val="24"/>
                <w:szCs w:val="24"/>
                <w:color w:val="auto"/>
              </w:rPr>
            </w:pPr>
          </w:p>
        </w:tc>
      </w:tr>
      <w:tr>
        <w:trPr>
          <w:trHeight w:val="186"/>
        </w:trPr>
        <w:tc>
          <w:tcPr>
            <w:tcW w:w="2720" w:type="dxa"/>
            <w:vAlign w:val="bottom"/>
          </w:tcPr>
          <w:p>
            <w:pPr>
              <w:spacing w:after="0"/>
              <w:rPr>
                <w:sz w:val="16"/>
                <w:szCs w:val="16"/>
                <w:color w:val="auto"/>
              </w:rPr>
            </w:pPr>
          </w:p>
        </w:tc>
        <w:tc>
          <w:tcPr>
            <w:tcW w:w="4800" w:type="dxa"/>
            <w:vAlign w:val="bottom"/>
          </w:tcPr>
          <w:p>
            <w:pPr>
              <w:jc w:val="center"/>
              <w:ind w:right="320"/>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700" w:type="dxa"/>
            <w:vAlign w:val="bottom"/>
          </w:tcPr>
          <w:p>
            <w:pPr>
              <w:spacing w:after="0"/>
              <w:rPr>
                <w:sz w:val="16"/>
                <w:szCs w:val="16"/>
                <w:color w:val="auto"/>
              </w:rPr>
            </w:pPr>
          </w:p>
        </w:tc>
      </w:tr>
      <w:tr>
        <w:trPr>
          <w:trHeight w:val="394"/>
        </w:trPr>
        <w:tc>
          <w:tcPr>
            <w:tcW w:w="2720" w:type="dxa"/>
            <w:vAlign w:val="bottom"/>
          </w:tcPr>
          <w:p>
            <w:pPr>
              <w:spacing w:after="0"/>
              <w:rPr>
                <w:sz w:val="24"/>
                <w:szCs w:val="24"/>
                <w:color w:val="auto"/>
              </w:rPr>
            </w:pPr>
          </w:p>
        </w:tc>
        <w:tc>
          <w:tcPr>
            <w:tcW w:w="4800" w:type="dxa"/>
            <w:vAlign w:val="bottom"/>
          </w:tcPr>
          <w:p>
            <w:pPr>
              <w:jc w:val="center"/>
              <w:ind w:right="320"/>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86"/>
        </w:trPr>
        <w:tc>
          <w:tcPr>
            <w:tcW w:w="2720" w:type="dxa"/>
            <w:vAlign w:val="bottom"/>
          </w:tcPr>
          <w:p>
            <w:pPr>
              <w:spacing w:after="0"/>
              <w:rPr>
                <w:sz w:val="16"/>
                <w:szCs w:val="16"/>
                <w:color w:val="auto"/>
              </w:rPr>
            </w:pPr>
          </w:p>
        </w:tc>
        <w:tc>
          <w:tcPr>
            <w:tcW w:w="4800" w:type="dxa"/>
            <w:vAlign w:val="bottom"/>
          </w:tcPr>
          <w:p>
            <w:pPr>
              <w:jc w:val="center"/>
              <w:ind w:right="340"/>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7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222250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40"/>
          </w:cols>
          <w:pgMar w:left="440" w:top="368" w:right="71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5.03</w:t>
      </w:r>
      <w:r>
        <w:rPr>
          <w:sz w:val="20"/>
          <w:szCs w:val="20"/>
          <w:color w:val="auto"/>
        </w:rPr>
        <w:tab/>
      </w:r>
      <w:r>
        <w:rPr>
          <w:rFonts w:ascii="Arial" w:cs="Arial" w:eastAsia="Arial" w:hAnsi="Arial"/>
          <w:sz w:val="16"/>
          <w:szCs w:val="16"/>
          <w:b w:val="1"/>
          <w:bCs w:val="1"/>
          <w:color w:val="auto"/>
        </w:rPr>
        <w:t>Amendments to Articles of Incorporation or Bylaws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Restatement of Certificate of Incorporation</w:t>
      </w:r>
    </w:p>
    <w:p>
      <w:pPr>
        <w:spacing w:after="0" w:line="117" w:lineRule="exact"/>
        <w:rPr>
          <w:sz w:val="20"/>
          <w:szCs w:val="20"/>
          <w:color w:val="auto"/>
        </w:rPr>
      </w:pPr>
    </w:p>
    <w:p>
      <w:pPr>
        <w:ind w:right="160" w:firstLine="441"/>
        <w:spacing w:after="0" w:line="279" w:lineRule="auto"/>
        <w:rPr>
          <w:sz w:val="20"/>
          <w:szCs w:val="20"/>
          <w:color w:val="auto"/>
        </w:rPr>
      </w:pPr>
      <w:r>
        <w:rPr>
          <w:rFonts w:ascii="Arial" w:cs="Arial" w:eastAsia="Arial" w:hAnsi="Arial"/>
          <w:sz w:val="17"/>
          <w:szCs w:val="17"/>
          <w:color w:val="auto"/>
        </w:rPr>
        <w:t>On April 23, 2019, Zoom Video Communications, Inc. (the “Company”) filed an Amended and Restated Certificate of Incorporation (“Restated Certificate”), with the Secretary of State of the State of Delaware in connection with the closing of the Company’s initial public offering of its Class A common stock (“IPO”). The Company’s board of directors and stockholders previously approved the Restated Certificate to be effective upon the closing of the IPO. The Restated Certificate is attached hereto as Exhibit 3.1 and is incorporated herein by reference.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Restatement of Bylaws</w:t>
      </w:r>
    </w:p>
    <w:p>
      <w:pPr>
        <w:spacing w:after="0" w:line="117" w:lineRule="exact"/>
        <w:rPr>
          <w:sz w:val="20"/>
          <w:szCs w:val="20"/>
          <w:color w:val="auto"/>
        </w:rPr>
      </w:pPr>
    </w:p>
    <w:p>
      <w:pPr>
        <w:ind w:right="40" w:firstLine="441"/>
        <w:spacing w:after="0" w:line="286" w:lineRule="auto"/>
        <w:rPr>
          <w:sz w:val="20"/>
          <w:szCs w:val="20"/>
          <w:color w:val="auto"/>
        </w:rPr>
      </w:pPr>
      <w:r>
        <w:rPr>
          <w:rFonts w:ascii="Arial" w:cs="Arial" w:eastAsia="Arial" w:hAnsi="Arial"/>
          <w:sz w:val="17"/>
          <w:szCs w:val="17"/>
          <w:color w:val="auto"/>
        </w:rPr>
        <w:t>Effective as of April 23, 2019, the Company’s Amended and Restated Bylaws (the “Restated Bylaws”) became effective in connection with the closing of the IPO. The Company’s board of directors and stockholders previously approved the Restated Bylaws to be effective upon the closing of the IPO. The Restated Bylaws are attached hereto as Exhibit 3.2 and are incorporated herein by reference.</w:t>
      </w:r>
    </w:p>
    <w:p>
      <w:pPr>
        <w:spacing w:after="0" w:line="166"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Please see the description of the Restated Certificate and the Restated Bylaws in the section titled “Description of Capital Stock” in the final prospectus the Company filed with the U.S. Securities and Exchange Commission on April 18, 2019 pursuant to Rule 424(b) under the Securities Act of 1933, as amended, relating to the Registration Statement on Form S-1, as amended (File No. 333- 230444).</w:t>
      </w:r>
    </w:p>
    <w:p>
      <w:pPr>
        <w:spacing w:after="0" w:line="32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740" w:type="dxa"/>
            <w:vAlign w:val="bottom"/>
          </w:tcPr>
          <w:p>
            <w:pPr>
              <w:spacing w:after="0"/>
              <w:rPr>
                <w:sz w:val="14"/>
                <w:szCs w:val="14"/>
                <w:color w:val="auto"/>
              </w:rPr>
            </w:pPr>
          </w:p>
        </w:tc>
        <w:tc>
          <w:tcPr>
            <w:tcW w:w="6480" w:type="dxa"/>
            <w:vAlign w:val="bottom"/>
            <w:gridSpan w:val="4"/>
            <w:vMerge w:val="restart"/>
          </w:tcPr>
          <w:p>
            <w:pPr>
              <w:ind w:left="45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740" w:type="dxa"/>
            <w:vAlign w:val="bottom"/>
          </w:tcPr>
          <w:p>
            <w:pPr>
              <w:spacing w:after="0"/>
              <w:rPr>
                <w:sz w:val="14"/>
                <w:szCs w:val="14"/>
                <w:color w:val="auto"/>
              </w:rPr>
            </w:pPr>
          </w:p>
        </w:tc>
        <w:tc>
          <w:tcPr>
            <w:tcW w:w="64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gridSpan w:val="2"/>
          </w:tcPr>
          <w:p>
            <w:pPr>
              <w:spacing w:after="0"/>
              <w:rPr>
                <w:sz w:val="20"/>
                <w:szCs w:val="20"/>
                <w:color w:val="auto"/>
              </w:rPr>
            </w:pPr>
            <w:r>
              <w:rPr>
                <w:rFonts w:ascii="Arial" w:cs="Arial" w:eastAsia="Arial" w:hAnsi="Arial"/>
                <w:sz w:val="18"/>
                <w:szCs w:val="18"/>
                <w:color w:val="auto"/>
              </w:rPr>
              <w:t>3.1</w:t>
            </w:r>
          </w:p>
        </w:tc>
        <w:tc>
          <w:tcPr>
            <w:tcW w:w="740" w:type="dxa"/>
            <w:vAlign w:val="bottom"/>
          </w:tcPr>
          <w:p>
            <w:pPr>
              <w:spacing w:after="0"/>
              <w:rPr>
                <w:sz w:val="24"/>
                <w:szCs w:val="24"/>
                <w:color w:val="auto"/>
              </w:rPr>
            </w:pPr>
          </w:p>
        </w:tc>
        <w:tc>
          <w:tcPr>
            <w:tcW w:w="648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Amended and Restated Certificate of Incorporation of Zoom Video Communications, Inc.</w:t>
              </w:r>
            </w:hyperlink>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3.2</w:t>
            </w:r>
            <w:r>
              <w:rPr>
                <w:rFonts w:ascii="Arial" w:cs="Arial" w:eastAsia="Arial" w:hAnsi="Arial"/>
                <w:sz w:val="15"/>
                <w:szCs w:val="15"/>
                <w:color w:val="auto"/>
              </w:rPr>
              <w:t>(1)</w:t>
            </w:r>
          </w:p>
        </w:tc>
        <w:tc>
          <w:tcPr>
            <w:tcW w:w="740" w:type="dxa"/>
            <w:vAlign w:val="bottom"/>
          </w:tcPr>
          <w:p>
            <w:pPr>
              <w:spacing w:after="0"/>
              <w:rPr>
                <w:sz w:val="24"/>
                <w:szCs w:val="24"/>
                <w:color w:val="auto"/>
              </w:rPr>
            </w:pPr>
          </w:p>
        </w:tc>
        <w:tc>
          <w:tcPr>
            <w:tcW w:w="6480" w:type="dxa"/>
            <w:vAlign w:val="bottom"/>
            <w:gridSpan w:val="4"/>
          </w:tcPr>
          <w:p>
            <w:pPr>
              <w:spacing w:after="0"/>
              <w:rPr>
                <w:rFonts w:ascii="Arial" w:cs="Arial" w:eastAsia="Arial" w:hAnsi="Arial"/>
                <w:sz w:val="18"/>
                <w:szCs w:val="18"/>
                <w:color w:val="0000EE"/>
              </w:rPr>
            </w:pPr>
            <w:hyperlink r:id="rId18">
              <w:r>
                <w:rPr>
                  <w:rFonts w:ascii="Arial" w:cs="Arial" w:eastAsia="Arial" w:hAnsi="Arial"/>
                  <w:sz w:val="18"/>
                  <w:szCs w:val="18"/>
                  <w:color w:val="0000EE"/>
                </w:rPr>
                <w:t>Amended and Restated Bylaws of Zoom Video Communications, Inc.</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5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694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2" w:lineRule="exact"/>
        <w:rPr>
          <w:sz w:val="20"/>
          <w:szCs w:val="20"/>
          <w:color w:val="auto"/>
        </w:rPr>
      </w:pPr>
    </w:p>
    <w:p>
      <w:pPr>
        <w:ind w:left="440" w:right="340" w:hanging="436"/>
        <w:spacing w:after="0" w:line="277" w:lineRule="auto"/>
        <w:tabs>
          <w:tab w:leader="none" w:pos="440" w:val="left"/>
        </w:tabs>
        <w:numPr>
          <w:ilvl w:val="0"/>
          <w:numId w:val="2"/>
        </w:numPr>
        <w:rPr>
          <w:rFonts w:ascii="Arial" w:cs="Arial" w:eastAsia="Arial" w:hAnsi="Arial"/>
          <w:sz w:val="15"/>
          <w:szCs w:val="15"/>
          <w:color w:val="auto"/>
        </w:rPr>
      </w:pPr>
      <w:r>
        <w:rPr>
          <w:rFonts w:ascii="Arial" w:cs="Arial" w:eastAsia="Arial" w:hAnsi="Arial"/>
          <w:sz w:val="18"/>
          <w:szCs w:val="18"/>
          <w:color w:val="auto"/>
        </w:rPr>
        <w:t>Previously filed as Exhibit 3.4 to the Registrant’s Registration Statement on Form S-1, as amended (File No. 333-230444), filed with the U.S. Securities and Exchange Commission on April 8, 2019, and incorporated herein by reference.</w:t>
      </w:r>
    </w:p>
    <w:p>
      <w:pPr>
        <w:sectPr>
          <w:pgSz w:w="11900" w:h="16838" w:orient="portrait"/>
          <w:cols w:equalWidth="0" w:num="1">
            <w:col w:w="10980"/>
          </w:cols>
          <w:pgMar w:left="440" w:top="270" w:right="47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400" w:type="dxa"/>
            <w:vAlign w:val="bottom"/>
            <w:gridSpan w:val="2"/>
          </w:tcPr>
          <w:p>
            <w:pPr>
              <w:ind w:left="2040"/>
              <w:spacing w:after="0"/>
              <w:rPr>
                <w:sz w:val="20"/>
                <w:szCs w:val="20"/>
                <w:color w:val="auto"/>
              </w:rPr>
            </w:pPr>
            <w:r>
              <w:rPr>
                <w:rFonts w:ascii="Arial" w:cs="Arial" w:eastAsia="Arial" w:hAnsi="Arial"/>
                <w:sz w:val="18"/>
                <w:szCs w:val="18"/>
                <w:b w:val="1"/>
                <w:bCs w:val="1"/>
                <w:color w:val="auto"/>
              </w:rPr>
              <w:t>Zoom Video Communications, Inc.</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Dated: April 23, 2019</w:t>
            </w:r>
          </w:p>
        </w:tc>
        <w:tc>
          <w:tcPr>
            <w:tcW w:w="7400" w:type="dxa"/>
            <w:vAlign w:val="bottom"/>
            <w:gridSpan w:val="2"/>
          </w:tcPr>
          <w:p>
            <w:pPr>
              <w:ind w:left="2040"/>
              <w:spacing w:after="0"/>
              <w:rPr>
                <w:sz w:val="20"/>
                <w:szCs w:val="20"/>
                <w:color w:val="auto"/>
              </w:rPr>
            </w:pPr>
            <w:r>
              <w:rPr>
                <w:rFonts w:ascii="Arial" w:cs="Arial" w:eastAsia="Arial" w:hAnsi="Arial"/>
                <w:sz w:val="18"/>
                <w:szCs w:val="18"/>
                <w:color w:val="auto"/>
              </w:rPr>
              <w:t>By:  /s/ Aparna Bawa</w:t>
            </w:r>
          </w:p>
        </w:tc>
      </w:tr>
      <w:tr>
        <w:trPr>
          <w:trHeight w:val="195"/>
        </w:trPr>
        <w:tc>
          <w:tcPr>
            <w:tcW w:w="36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0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Aparna Bawa</w:t>
            </w:r>
          </w:p>
        </w:tc>
      </w:tr>
      <w:tr>
        <w:trPr>
          <w:trHeight w:val="230"/>
        </w:trPr>
        <w:tc>
          <w:tcPr>
            <w:tcW w:w="36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Arial" w:cs="Arial" w:eastAsia="Arial" w:hAnsi="Arial"/>
                <w:sz w:val="18"/>
                <w:szCs w:val="18"/>
                <w:i w:val="1"/>
                <w:iCs w:val="1"/>
                <w:color w:val="auto"/>
              </w:rPr>
              <w:t>General Counsel and Secretary</w:t>
            </w:r>
          </w:p>
        </w:tc>
      </w:tr>
    </w:tbl>
    <w:p>
      <w:pPr>
        <w:sectPr>
          <w:pgSz w:w="11900" w:h="16838" w:orient="portrait"/>
          <w:cols w:equalWidth="0" w:num="1">
            <w:col w:w="11040"/>
          </w:cols>
          <w:pgMar w:left="440" w:top="270"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25" w:lineRule="exact"/>
        <w:rPr>
          <w:sz w:val="20"/>
          <w:szCs w:val="20"/>
          <w:color w:val="auto"/>
        </w:rPr>
      </w:pPr>
    </w:p>
    <w:p>
      <w:pPr>
        <w:ind w:right="400" w:firstLine="881"/>
        <w:spacing w:after="0" w:line="282" w:lineRule="auto"/>
        <w:rPr>
          <w:sz w:val="20"/>
          <w:szCs w:val="20"/>
          <w:color w:val="auto"/>
        </w:rPr>
      </w:pPr>
      <w:r>
        <w:rPr>
          <w:rFonts w:ascii="Arial" w:cs="Arial" w:eastAsia="Arial" w:hAnsi="Arial"/>
          <w:sz w:val="18"/>
          <w:szCs w:val="18"/>
          <w:color w:val="auto"/>
        </w:rPr>
        <w:t>Zoom Video Communications, Inc. (the “</w:t>
      </w:r>
      <w:r>
        <w:rPr>
          <w:rFonts w:ascii="Arial" w:cs="Arial" w:eastAsia="Arial" w:hAnsi="Arial"/>
          <w:sz w:val="18"/>
          <w:szCs w:val="18"/>
          <w:b w:val="1"/>
          <w:bCs w:val="1"/>
          <w:color w:val="auto"/>
        </w:rPr>
        <w:t>Corporation</w:t>
      </w:r>
      <w:r>
        <w:rPr>
          <w:rFonts w:ascii="Arial" w:cs="Arial" w:eastAsia="Arial" w:hAnsi="Arial"/>
          <w:sz w:val="18"/>
          <w:szCs w:val="18"/>
          <w:color w:val="auto"/>
        </w:rPr>
        <w:t>”), a corporation organized and existing under the laws of the State of Delaware, hereby certifies as follows:</w:t>
      </w:r>
    </w:p>
    <w:p>
      <w:pPr>
        <w:spacing w:after="0" w:line="58" w:lineRule="exact"/>
        <w:rPr>
          <w:sz w:val="20"/>
          <w:szCs w:val="20"/>
          <w:color w:val="auto"/>
        </w:rPr>
      </w:pPr>
    </w:p>
    <w:p>
      <w:pPr>
        <w:ind w:right="580" w:firstLine="885"/>
        <w:spacing w:after="0" w:line="277" w:lineRule="auto"/>
        <w:tabs>
          <w:tab w:leader="none" w:pos="123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Corporation was originally incorporated under the name of Saasbee, Inc., and the original certificate of incorporation of the Corporation was filed with the Secretary of State of the State of Delaware on April 21, 2011.</w:t>
      </w:r>
    </w:p>
    <w:p>
      <w:pPr>
        <w:spacing w:after="0" w:line="58" w:lineRule="exact"/>
        <w:rPr>
          <w:rFonts w:ascii="Arial" w:cs="Arial" w:eastAsia="Arial" w:hAnsi="Arial"/>
          <w:sz w:val="18"/>
          <w:szCs w:val="18"/>
          <w:color w:val="auto"/>
        </w:rPr>
      </w:pPr>
    </w:p>
    <w:p>
      <w:pPr>
        <w:ind w:right="100" w:firstLine="885"/>
        <w:spacing w:after="0" w:line="266" w:lineRule="auto"/>
        <w:tabs>
          <w:tab w:leader="none" w:pos="122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Amended and Restated Certificate of Incorporation (this “</w:t>
      </w:r>
      <w:r>
        <w:rPr>
          <w:rFonts w:ascii="Arial" w:cs="Arial" w:eastAsia="Arial" w:hAnsi="Arial"/>
          <w:sz w:val="18"/>
          <w:szCs w:val="18"/>
          <w:b w:val="1"/>
          <w:bCs w:val="1"/>
          <w:color w:val="auto"/>
        </w:rPr>
        <w:t>Amended and Restated Certificate of Incorporation</w:t>
      </w:r>
      <w:r>
        <w:rPr>
          <w:rFonts w:ascii="Arial" w:cs="Arial" w:eastAsia="Arial" w:hAnsi="Arial"/>
          <w:sz w:val="18"/>
          <w:szCs w:val="18"/>
          <w:color w:val="auto"/>
        </w:rPr>
        <w:t>”) was duly adopted in accordance with Sections 242 and 245 of the General Corporation Law of the State of Delaware (the “</w:t>
      </w:r>
      <w:r>
        <w:rPr>
          <w:rFonts w:ascii="Arial" w:cs="Arial" w:eastAsia="Arial" w:hAnsi="Arial"/>
          <w:sz w:val="18"/>
          <w:szCs w:val="18"/>
          <w:b w:val="1"/>
          <w:bCs w:val="1"/>
          <w:color w:val="auto"/>
        </w:rPr>
        <w:t>DGCL</w:t>
      </w:r>
      <w:r>
        <w:rPr>
          <w:rFonts w:ascii="Arial" w:cs="Arial" w:eastAsia="Arial" w:hAnsi="Arial"/>
          <w:sz w:val="18"/>
          <w:szCs w:val="18"/>
          <w:color w:val="auto"/>
        </w:rPr>
        <w:t>”), and has been duly approved by the written consent of the stockholders of the Corporation in accordance with Section 228 of the DGCL.</w:t>
      </w:r>
    </w:p>
    <w:p>
      <w:pPr>
        <w:spacing w:after="0" w:line="72" w:lineRule="exact"/>
        <w:rPr>
          <w:rFonts w:ascii="Arial" w:cs="Arial" w:eastAsia="Arial" w:hAnsi="Arial"/>
          <w:sz w:val="18"/>
          <w:szCs w:val="18"/>
          <w:color w:val="auto"/>
        </w:rPr>
      </w:pPr>
    </w:p>
    <w:p>
      <w:pPr>
        <w:ind w:left="1220" w:hanging="33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certificate of incorporation of the Corporation is hereby amended and restated in its entirety to read as follows:</w:t>
      </w:r>
    </w:p>
    <w:p>
      <w:pPr>
        <w:spacing w:after="0" w:line="200" w:lineRule="exact"/>
        <w:rPr>
          <w:sz w:val="20"/>
          <w:szCs w:val="20"/>
          <w:color w:val="auto"/>
        </w:rPr>
      </w:pPr>
    </w:p>
    <w:p>
      <w:pPr>
        <w:spacing w:after="0" w:line="23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the Corporation is Zoom Video Communications, Inc.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1209 Orange Street, Wilmington, New Castle County, Delaware 19801. The name of its registered agent at such address is The Corporation Trust Company.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DGCL.</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9" w:lineRule="exact"/>
        <w:rPr>
          <w:sz w:val="20"/>
          <w:szCs w:val="20"/>
          <w:color w:val="auto"/>
        </w:rPr>
      </w:pPr>
    </w:p>
    <w:p>
      <w:pPr>
        <w:ind w:firstLine="885"/>
        <w:spacing w:after="0" w:line="259" w:lineRule="auto"/>
        <w:tabs>
          <w:tab w:leader="none" w:pos="1236"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Classes of Stock</w:t>
      </w:r>
      <w:r>
        <w:rPr>
          <w:rFonts w:ascii="Arial" w:cs="Arial" w:eastAsia="Arial" w:hAnsi="Arial"/>
          <w:sz w:val="18"/>
          <w:szCs w:val="18"/>
          <w:color w:val="auto"/>
        </w:rPr>
        <w:t>. The total number of shares of capital stock that the Corporation shall have authority to issue is 2,500,000,000, consisting of the following: 2,000,000,000 shares of Class A Common Stock, par value $0.001 per share (“</w:t>
      </w:r>
      <w:r>
        <w:rPr>
          <w:rFonts w:ascii="Arial" w:cs="Arial" w:eastAsia="Arial" w:hAnsi="Arial"/>
          <w:sz w:val="18"/>
          <w:szCs w:val="18"/>
          <w:b w:val="1"/>
          <w:bCs w:val="1"/>
          <w:color w:val="auto"/>
        </w:rPr>
        <w:t>Class A Common Stock</w:t>
      </w:r>
      <w:r>
        <w:rPr>
          <w:rFonts w:ascii="Arial" w:cs="Arial" w:eastAsia="Arial" w:hAnsi="Arial"/>
          <w:sz w:val="18"/>
          <w:szCs w:val="18"/>
          <w:color w:val="auto"/>
        </w:rPr>
        <w:t>”), 300,000,000 shares of Class B Common Stock, par value $0.001 per share (“</w:t>
      </w:r>
      <w:r>
        <w:rPr>
          <w:rFonts w:ascii="Arial" w:cs="Arial" w:eastAsia="Arial" w:hAnsi="Arial"/>
          <w:sz w:val="18"/>
          <w:szCs w:val="18"/>
          <w:b w:val="1"/>
          <w:bCs w:val="1"/>
          <w:color w:val="auto"/>
        </w:rPr>
        <w:t>Class B Common Stock</w:t>
      </w:r>
      <w:r>
        <w:rPr>
          <w:rFonts w:ascii="Arial" w:cs="Arial" w:eastAsia="Arial" w:hAnsi="Arial"/>
          <w:sz w:val="18"/>
          <w:szCs w:val="18"/>
          <w:color w:val="auto"/>
        </w:rPr>
        <w:t>”), and 200,000,000 shares of undesignated Preferred Stock, par value $0.001 per share (“</w:t>
      </w:r>
      <w:r>
        <w:rPr>
          <w:rFonts w:ascii="Arial" w:cs="Arial" w:eastAsia="Arial" w:hAnsi="Arial"/>
          <w:sz w:val="18"/>
          <w:szCs w:val="18"/>
          <w:b w:val="1"/>
          <w:bCs w:val="1"/>
          <w:color w:val="auto"/>
        </w:rPr>
        <w:t>Preferred Stock</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180" w:firstLine="885"/>
        <w:spacing w:after="0" w:line="273" w:lineRule="auto"/>
        <w:tabs>
          <w:tab w:leader="none" w:pos="1227"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Rights of Preferred Stock</w:t>
      </w:r>
      <w:r>
        <w:rPr>
          <w:rFonts w:ascii="Arial" w:cs="Arial" w:eastAsia="Arial" w:hAnsi="Arial"/>
          <w:sz w:val="17"/>
          <w:szCs w:val="17"/>
          <w:color w:val="auto"/>
        </w:rPr>
        <w:t>. The Board of Directors is authorized, subject to any limitations prescribed by law but to the fullest extent permitted by law, to provide by resolution for the designation and issuance of shares of Preferred Stock in one or more series, to establish from time to time the number of shares to be included in each such series, to fix the designation, powers (which may include, without limitation, full, limited or no voting powers), preferences, and relative, participating, optional or other rights of the shares of each such series and any qualifications, limitations or restrictions thereof, and to file a certificate pursuant to the applicable law of the State of Delaware (such certificate being hereinafter referred to as a “</w:t>
      </w:r>
      <w:r>
        <w:rPr>
          <w:rFonts w:ascii="Arial" w:cs="Arial" w:eastAsia="Arial" w:hAnsi="Arial"/>
          <w:sz w:val="17"/>
          <w:szCs w:val="17"/>
          <w:b w:val="1"/>
          <w:bCs w:val="1"/>
          <w:color w:val="auto"/>
        </w:rPr>
        <w:t>Preferred Stock Designation</w:t>
      </w:r>
      <w:r>
        <w:rPr>
          <w:rFonts w:ascii="Arial" w:cs="Arial" w:eastAsia="Arial" w:hAnsi="Arial"/>
          <w:sz w:val="17"/>
          <w:szCs w:val="17"/>
          <w:color w:val="auto"/>
        </w:rPr>
        <w:t>”), setting forth such resolution or resolutions.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ind w:right="220" w:firstLine="885"/>
        <w:spacing w:after="0" w:line="257" w:lineRule="auto"/>
        <w:tabs>
          <w:tab w:leader="none" w:pos="1227"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Vote to Increase or Decrease Authorized Shares of Preferred Stock</w:t>
      </w:r>
      <w:r>
        <w:rPr>
          <w:rFonts w:ascii="Arial" w:cs="Arial" w:eastAsia="Arial" w:hAnsi="Arial"/>
          <w:sz w:val="18"/>
          <w:szCs w:val="18"/>
          <w:color w:val="auto"/>
        </w:rPr>
        <w:t>. The number of authorized shares of Preferred Stock may be increased or decreased (but not below the number of shares thereof then outstanding) by the affirmative vote of the holders of a majority of the voting power of all of the outstanding shares of capital stock of the Corporation entitled to vote thereon, without a separate class vote of the holders of Preferred Stock, or any separate series votes of any series thereof, unless a vote of any such holders is required pursuant to the terms of any Preferred Stock Designation.</w:t>
      </w:r>
    </w:p>
    <w:p>
      <w:pPr>
        <w:spacing w:after="0" w:line="188" w:lineRule="exact"/>
        <w:rPr>
          <w:rFonts w:ascii="Arial" w:cs="Arial" w:eastAsia="Arial" w:hAnsi="Arial"/>
          <w:sz w:val="18"/>
          <w:szCs w:val="18"/>
          <w:color w:val="auto"/>
        </w:rPr>
      </w:pPr>
    </w:p>
    <w:p>
      <w:pPr>
        <w:ind w:right="180" w:firstLine="885"/>
        <w:spacing w:after="0" w:line="277" w:lineRule="auto"/>
        <w:tabs>
          <w:tab w:leader="none" w:pos="1236"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Rights of Class A Common Stock and Class B Common Stock</w:t>
      </w:r>
      <w:r>
        <w:rPr>
          <w:rFonts w:ascii="Arial" w:cs="Arial" w:eastAsia="Arial" w:hAnsi="Arial"/>
          <w:sz w:val="18"/>
          <w:szCs w:val="18"/>
          <w:color w:val="auto"/>
        </w:rPr>
        <w:t>. The relative powers, rights, qualifications, limitations and restrictions granted to or imposed on the shares of Class A Common Stock and Class B Common Stock are as follows:</w:t>
      </w:r>
    </w:p>
    <w:p>
      <w:pPr>
        <w:spacing w:after="0" w:line="62" w:lineRule="exact"/>
        <w:rPr>
          <w:rFonts w:ascii="Arial" w:cs="Arial" w:eastAsia="Arial" w:hAnsi="Arial"/>
          <w:sz w:val="18"/>
          <w:szCs w:val="18"/>
          <w:color w:val="auto"/>
        </w:rPr>
      </w:pPr>
    </w:p>
    <w:p>
      <w:pPr>
        <w:ind w:left="2200" w:hanging="323"/>
        <w:spacing w:after="0"/>
        <w:tabs>
          <w:tab w:leader="none" w:pos="2200"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40" w:firstLine="2318"/>
        <w:spacing w:after="0" w:line="255" w:lineRule="auto"/>
        <w:tabs>
          <w:tab w:leader="none" w:pos="2694" w:val="left"/>
        </w:tabs>
        <w:numPr>
          <w:ilvl w:val="2"/>
          <w:numId w:val="5"/>
        </w:numPr>
        <w:rPr>
          <w:rFonts w:ascii="Arial" w:cs="Arial" w:eastAsia="Arial" w:hAnsi="Arial"/>
          <w:sz w:val="18"/>
          <w:szCs w:val="18"/>
          <w:color w:val="auto"/>
        </w:rPr>
      </w:pPr>
      <w:r>
        <w:rPr>
          <w:rFonts w:ascii="Arial" w:cs="Arial" w:eastAsia="Arial" w:hAnsi="Arial"/>
          <w:sz w:val="18"/>
          <w:szCs w:val="18"/>
          <w:u w:val="single" w:color="auto"/>
          <w:color w:val="auto"/>
        </w:rPr>
        <w:t>General Right to Vote Together; Exception</w:t>
      </w:r>
      <w:r>
        <w:rPr>
          <w:rFonts w:ascii="Arial" w:cs="Arial" w:eastAsia="Arial" w:hAnsi="Arial"/>
          <w:sz w:val="18"/>
          <w:szCs w:val="18"/>
          <w:color w:val="auto"/>
        </w:rPr>
        <w:t>. Except as otherwise expressly provided herein or required by applicable law, the holders of Class A Common Stock and Class B Common Stock shall vote together as one class on all matters submitted to a vote of the stockholders; provided, subject to the terms of any Preferred Stock Designation, the number of authorized shares of Class A Common Stock or Class B Common Stock may be increased or decreased (but not below the number of shares thereof then outstanding) by the affirmative vote of the holders of a majority of the voting power of the capital stock of the Corporation entitled to vote thereon, without a separate class vote of the holders of either the Class A Common Stock or the Class B Common Stock.</w:t>
      </w:r>
    </w:p>
    <w:p>
      <w:pPr>
        <w:spacing w:after="0" w:line="85" w:lineRule="exact"/>
        <w:rPr>
          <w:rFonts w:ascii="Arial" w:cs="Arial" w:eastAsia="Arial" w:hAnsi="Arial"/>
          <w:sz w:val="18"/>
          <w:szCs w:val="18"/>
          <w:color w:val="auto"/>
        </w:rPr>
      </w:pPr>
    </w:p>
    <w:p>
      <w:pPr>
        <w:ind w:right="40" w:firstLine="2318"/>
        <w:spacing w:after="0" w:line="264" w:lineRule="auto"/>
        <w:tabs>
          <w:tab w:leader="none" w:pos="2704" w:val="left"/>
        </w:tabs>
        <w:numPr>
          <w:ilvl w:val="2"/>
          <w:numId w:val="5"/>
        </w:numPr>
        <w:rPr>
          <w:rFonts w:ascii="Arial" w:cs="Arial" w:eastAsia="Arial" w:hAnsi="Arial"/>
          <w:sz w:val="18"/>
          <w:szCs w:val="18"/>
          <w:color w:val="auto"/>
        </w:rPr>
      </w:pPr>
      <w:r>
        <w:rPr>
          <w:rFonts w:ascii="Arial" w:cs="Arial" w:eastAsia="Arial" w:hAnsi="Arial"/>
          <w:sz w:val="18"/>
          <w:szCs w:val="18"/>
          <w:u w:val="single" w:color="auto"/>
          <w:color w:val="auto"/>
        </w:rPr>
        <w:t>Votes Per Share</w:t>
      </w:r>
      <w:r>
        <w:rPr>
          <w:rFonts w:ascii="Arial" w:cs="Arial" w:eastAsia="Arial" w:hAnsi="Arial"/>
          <w:sz w:val="18"/>
          <w:szCs w:val="18"/>
          <w:color w:val="auto"/>
        </w:rPr>
        <w:t>. Except as otherwise expressly provided herein or required by applicable law, on any matter that is submitted to a vote of the stockholders, each holder of Class A Common Stock shall be entitled to one (1) vote for each such share, and each holder of Class B Common Stock shall be entitled to ten (10) votes for each such share.</w:t>
      </w:r>
    </w:p>
    <w:p>
      <w:pPr>
        <w:spacing w:after="0" w:line="73" w:lineRule="exact"/>
        <w:rPr>
          <w:rFonts w:ascii="Arial" w:cs="Arial" w:eastAsia="Arial" w:hAnsi="Arial"/>
          <w:sz w:val="18"/>
          <w:szCs w:val="18"/>
          <w:color w:val="auto"/>
        </w:rPr>
      </w:pPr>
    </w:p>
    <w:p>
      <w:pPr>
        <w:ind w:right="60" w:firstLine="1877"/>
        <w:spacing w:after="0" w:line="264" w:lineRule="auto"/>
        <w:tabs>
          <w:tab w:leader="none" w:pos="2188"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Identical Rights</w:t>
      </w:r>
      <w:r>
        <w:rPr>
          <w:rFonts w:ascii="Arial" w:cs="Arial" w:eastAsia="Arial" w:hAnsi="Arial"/>
          <w:sz w:val="18"/>
          <w:szCs w:val="18"/>
          <w:color w:val="auto"/>
        </w:rPr>
        <w:t>. Except as otherwise expressly provided herein or required by applicable law, shares of Class A Common Stock and Class B Common Stock shall have the same rights and privileges and rank equally, share ratably and be identical in all respects as to all matters, including, without limitation:</w:t>
      </w:r>
    </w:p>
    <w:p>
      <w:pPr>
        <w:spacing w:after="0" w:line="73" w:lineRule="exact"/>
        <w:rPr>
          <w:rFonts w:ascii="Arial" w:cs="Arial" w:eastAsia="Arial" w:hAnsi="Arial"/>
          <w:sz w:val="18"/>
          <w:szCs w:val="18"/>
          <w:color w:val="auto"/>
        </w:rPr>
      </w:pPr>
    </w:p>
    <w:p>
      <w:pPr>
        <w:ind w:right="60" w:firstLine="2318"/>
        <w:spacing w:after="0" w:line="290" w:lineRule="auto"/>
        <w:tabs>
          <w:tab w:leader="none" w:pos="2694" w:val="left"/>
        </w:tabs>
        <w:numPr>
          <w:ilvl w:val="2"/>
          <w:numId w:val="5"/>
        </w:numPr>
        <w:rPr>
          <w:rFonts w:ascii="Arial" w:cs="Arial" w:eastAsia="Arial" w:hAnsi="Arial"/>
          <w:sz w:val="16"/>
          <w:szCs w:val="16"/>
          <w:color w:val="auto"/>
        </w:rPr>
      </w:pPr>
      <w:r>
        <w:rPr>
          <w:rFonts w:ascii="Arial" w:cs="Arial" w:eastAsia="Arial" w:hAnsi="Arial"/>
          <w:sz w:val="16"/>
          <w:szCs w:val="16"/>
          <w:u w:val="single" w:color="auto"/>
          <w:color w:val="auto"/>
        </w:rPr>
        <w:t>Dividends and Distributions</w:t>
      </w:r>
      <w:r>
        <w:rPr>
          <w:rFonts w:ascii="Arial" w:cs="Arial" w:eastAsia="Arial" w:hAnsi="Arial"/>
          <w:sz w:val="16"/>
          <w:szCs w:val="16"/>
          <w:color w:val="auto"/>
        </w:rPr>
        <w:t>. Shares of Class A Common Stock and Class B Common Stock shall be treated equally, identically and ratably, on a per share basis, with respect to any Distribution paid or distributed by the Corporation,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 provided that in the event a Distribution is paid in the form of shares of Class A Common Stock or Class B Common Stock (or Rights to acquire such stock), then holders of Class A Common Stock shall receive shares of Class A Common Stock (or Rights to acquire such stock, as the case may be) and holders of Class B Common Stock shall receive shares of Class B Common Stock (or Rights to acquire such stock, as the case may be) and the affirmative vote of the holders of a majority of the outstanding shares of Class A Common Stock or Class B Common Stock shall not be required.</w:t>
      </w:r>
    </w:p>
    <w:p>
      <w:pPr>
        <w:spacing w:after="0" w:line="58" w:lineRule="exact"/>
        <w:rPr>
          <w:rFonts w:ascii="Arial" w:cs="Arial" w:eastAsia="Arial" w:hAnsi="Arial"/>
          <w:sz w:val="16"/>
          <w:szCs w:val="16"/>
          <w:color w:val="auto"/>
        </w:rPr>
      </w:pPr>
    </w:p>
    <w:p>
      <w:pPr>
        <w:ind w:firstLine="2318"/>
        <w:spacing w:after="0" w:line="257" w:lineRule="auto"/>
        <w:tabs>
          <w:tab w:leader="none" w:pos="2704" w:val="left"/>
        </w:tabs>
        <w:numPr>
          <w:ilvl w:val="2"/>
          <w:numId w:val="5"/>
        </w:numPr>
        <w:rPr>
          <w:rFonts w:ascii="Arial" w:cs="Arial" w:eastAsia="Arial" w:hAnsi="Arial"/>
          <w:sz w:val="18"/>
          <w:szCs w:val="18"/>
          <w:color w:val="auto"/>
        </w:rPr>
      </w:pPr>
      <w:r>
        <w:rPr>
          <w:rFonts w:ascii="Arial" w:cs="Arial" w:eastAsia="Arial" w:hAnsi="Arial"/>
          <w:sz w:val="18"/>
          <w:szCs w:val="18"/>
          <w:u w:val="single" w:color="auto"/>
          <w:color w:val="auto"/>
        </w:rPr>
        <w:t>Subdivision or Combination</w:t>
      </w:r>
      <w:r>
        <w:rPr>
          <w:rFonts w:ascii="Arial" w:cs="Arial" w:eastAsia="Arial" w:hAnsi="Arial"/>
          <w:sz w:val="18"/>
          <w:szCs w:val="18"/>
          <w:color w:val="auto"/>
        </w:rPr>
        <w:t>. If the Corporation in any manner subdivides or combines the outstanding shares of Class A Common Stock or Class B Common Stock, the outstanding shares of the other such class will be subdivided or combined in the same proportion and manner,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5" w:name="page6"/>
    <w:bookmarkEnd w:id="5"/>
    <w:p>
      <w:pPr>
        <w:ind w:firstLine="2318"/>
        <w:spacing w:after="0" w:line="269" w:lineRule="auto"/>
        <w:tabs>
          <w:tab w:leader="none" w:pos="2694" w:val="left"/>
        </w:tabs>
        <w:numPr>
          <w:ilvl w:val="1"/>
          <w:numId w:val="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Equal Treatment in a Change of Control or any Merger Transaction</w:t>
      </w:r>
      <w:r>
        <w:rPr>
          <w:rFonts w:ascii="Arial" w:cs="Arial" w:eastAsia="Arial" w:hAnsi="Arial"/>
          <w:sz w:val="17"/>
          <w:szCs w:val="17"/>
          <w:color w:val="auto"/>
        </w:rPr>
        <w:t>. In connection with any Change of Control Transaction, shares of Class A Common Stock and Class B Common Stock shall be treated equally, identically and ratably, on a per share basis, with respect to any consideration into which such shares are converted or any consideration paid or otherwise distributed to stockholders of the Corporation,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 Any merger or consolidation of the Corporation with or into any other entity, which is not a Change of Control Transaction, shall require approval by the affirmative vote of the holders of a majority of the outstanding shares of Class A Common Stock and by the affirmative vote of the holders of a majority of the outstanding shares of Class B Common Stock, each voting separately as a class, unless (i) the shares of Class A Common Stock and Class B Common Stock remain outstanding and no other consideration is received in respect thereof or (ii) such shares are converted on a pro rata basis into shares of the surviving or parent entity in such transaction having identical rights to the shares of Class A Common Stock and Class B Common Stock, respectively.</w:t>
      </w:r>
    </w:p>
    <w:p>
      <w:pPr>
        <w:spacing w:after="0" w:line="74" w:lineRule="exact"/>
        <w:rPr>
          <w:rFonts w:ascii="Arial" w:cs="Arial" w:eastAsia="Arial" w:hAnsi="Arial"/>
          <w:sz w:val="17"/>
          <w:szCs w:val="17"/>
          <w:color w:val="auto"/>
        </w:rPr>
      </w:pPr>
    </w:p>
    <w:p>
      <w:pPr>
        <w:ind w:left="2200" w:hanging="323"/>
        <w:spacing w:after="0"/>
        <w:tabs>
          <w:tab w:leader="none" w:pos="22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Conversion of Class B Common Stock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right="160" w:firstLine="2318"/>
        <w:spacing w:after="0" w:line="259" w:lineRule="auto"/>
        <w:tabs>
          <w:tab w:leader="none" w:pos="2694"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Voluntary Conversion</w:t>
      </w:r>
      <w:r>
        <w:rPr>
          <w:rFonts w:ascii="Arial" w:cs="Arial" w:eastAsia="Arial" w:hAnsi="Arial"/>
          <w:sz w:val="18"/>
          <w:szCs w:val="18"/>
          <w:color w:val="auto"/>
        </w:rPr>
        <w:t>. Each one (1) share of Class B Common Stock shall be convertible into one (1) share of Class A Common Stock at the option of the holder thereof at any time upon written notice to the transfer agent of the Corporation unless the notice specifies a later effective date or an effective date determined upon the happening of an event, in which case the conversion shall occur upon such date or the happening of such event.</w:t>
      </w:r>
    </w:p>
    <w:p>
      <w:pPr>
        <w:spacing w:after="0" w:line="78" w:lineRule="exact"/>
        <w:rPr>
          <w:rFonts w:ascii="Arial" w:cs="Arial" w:eastAsia="Arial" w:hAnsi="Arial"/>
          <w:sz w:val="18"/>
          <w:szCs w:val="18"/>
          <w:color w:val="auto"/>
        </w:rPr>
      </w:pPr>
    </w:p>
    <w:p>
      <w:pPr>
        <w:ind w:right="400" w:firstLine="2318"/>
        <w:spacing w:after="0" w:line="277" w:lineRule="auto"/>
        <w:tabs>
          <w:tab w:leader="none" w:pos="2704"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Automatic Conversion</w:t>
      </w:r>
      <w:r>
        <w:rPr>
          <w:rFonts w:ascii="Arial" w:cs="Arial" w:eastAsia="Arial" w:hAnsi="Arial"/>
          <w:sz w:val="18"/>
          <w:szCs w:val="18"/>
          <w:color w:val="auto"/>
        </w:rPr>
        <w:t>. Each one (1) share of Class B Common Stock shall automatically, without any further action, convert into one (1) share of Class A Common Stock upon:</w:t>
      </w:r>
    </w:p>
    <w:p>
      <w:pPr>
        <w:spacing w:after="0" w:line="62" w:lineRule="exact"/>
        <w:rPr>
          <w:rFonts w:ascii="Arial" w:cs="Arial" w:eastAsia="Arial" w:hAnsi="Arial"/>
          <w:sz w:val="18"/>
          <w:szCs w:val="18"/>
          <w:color w:val="auto"/>
        </w:rPr>
      </w:pPr>
    </w:p>
    <w:p>
      <w:pPr>
        <w:ind w:left="3220" w:hanging="351"/>
        <w:spacing w:after="0"/>
        <w:tabs>
          <w:tab w:leader="none" w:pos="3220" w:val="left"/>
        </w:tabs>
        <w:numPr>
          <w:ilvl w:val="2"/>
          <w:numId w:val="7"/>
        </w:numPr>
        <w:rPr>
          <w:rFonts w:ascii="Arial" w:cs="Arial" w:eastAsia="Arial" w:hAnsi="Arial"/>
          <w:sz w:val="18"/>
          <w:szCs w:val="18"/>
          <w:color w:val="auto"/>
        </w:rPr>
      </w:pPr>
      <w:r>
        <w:rPr>
          <w:rFonts w:ascii="Arial" w:cs="Arial" w:eastAsia="Arial" w:hAnsi="Arial"/>
          <w:sz w:val="18"/>
          <w:szCs w:val="18"/>
          <w:color w:val="auto"/>
        </w:rPr>
        <w:t>a Transfer, other than a Permitted Transfer, of such share; or</w:t>
      </w:r>
    </w:p>
    <w:p>
      <w:pPr>
        <w:spacing w:after="0" w:line="117" w:lineRule="exact"/>
        <w:rPr>
          <w:rFonts w:ascii="Arial" w:cs="Arial" w:eastAsia="Arial" w:hAnsi="Arial"/>
          <w:sz w:val="18"/>
          <w:szCs w:val="18"/>
          <w:color w:val="auto"/>
        </w:rPr>
      </w:pPr>
    </w:p>
    <w:p>
      <w:pPr>
        <w:ind w:left="3260" w:hanging="391"/>
        <w:spacing w:after="0"/>
        <w:tabs>
          <w:tab w:leader="none" w:pos="3260" w:val="left"/>
        </w:tabs>
        <w:numPr>
          <w:ilvl w:val="2"/>
          <w:numId w:val="7"/>
        </w:numPr>
        <w:rPr>
          <w:rFonts w:ascii="Arial" w:cs="Arial" w:eastAsia="Arial" w:hAnsi="Arial"/>
          <w:sz w:val="17"/>
          <w:szCs w:val="17"/>
          <w:color w:val="auto"/>
        </w:rPr>
      </w:pPr>
      <w:r>
        <w:rPr>
          <w:rFonts w:ascii="Arial" w:cs="Arial" w:eastAsia="Arial" w:hAnsi="Arial"/>
          <w:sz w:val="17"/>
          <w:szCs w:val="17"/>
          <w:color w:val="auto"/>
        </w:rPr>
        <w:t>other than with respect to the Founder, the death of the holder of such share if such holder is a natural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person.</w:t>
      </w:r>
    </w:p>
    <w:p>
      <w:pPr>
        <w:spacing w:after="0" w:line="102" w:lineRule="exact"/>
        <w:rPr>
          <w:rFonts w:ascii="Arial" w:cs="Arial" w:eastAsia="Arial" w:hAnsi="Arial"/>
          <w:sz w:val="17"/>
          <w:szCs w:val="17"/>
          <w:color w:val="auto"/>
        </w:rPr>
      </w:pPr>
    </w:p>
    <w:p>
      <w:pPr>
        <w:ind w:right="180" w:firstLine="2318"/>
        <w:spacing w:after="0" w:line="264" w:lineRule="auto"/>
        <w:tabs>
          <w:tab w:leader="none" w:pos="2694"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Automatic Conversion of all Outstanding Class B Common Stock</w:t>
      </w:r>
      <w:r>
        <w:rPr>
          <w:rFonts w:ascii="Arial" w:cs="Arial" w:eastAsia="Arial" w:hAnsi="Arial"/>
          <w:sz w:val="18"/>
          <w:szCs w:val="18"/>
          <w:color w:val="auto"/>
        </w:rPr>
        <w:t>. Each one (1) share of Class B Common Stock shall automatically, without any further action, convert into one (1) share of Class A Common Stock upon the earliest of (such date, the “</w:t>
      </w:r>
      <w:r>
        <w:rPr>
          <w:rFonts w:ascii="Arial" w:cs="Arial" w:eastAsia="Arial" w:hAnsi="Arial"/>
          <w:sz w:val="18"/>
          <w:szCs w:val="18"/>
          <w:b w:val="1"/>
          <w:bCs w:val="1"/>
          <w:color w:val="auto"/>
        </w:rPr>
        <w:t>Final</w:t>
      </w:r>
      <w:r>
        <w:rPr>
          <w:rFonts w:ascii="Arial" w:cs="Arial" w:eastAsia="Arial" w:hAnsi="Arial"/>
          <w:sz w:val="18"/>
          <w:szCs w:val="18"/>
          <w:color w:val="auto"/>
        </w:rPr>
        <w:t xml:space="preserve"> </w:t>
      </w:r>
      <w:r>
        <w:rPr>
          <w:rFonts w:ascii="Arial" w:cs="Arial" w:eastAsia="Arial" w:hAnsi="Arial"/>
          <w:sz w:val="18"/>
          <w:szCs w:val="18"/>
          <w:b w:val="1"/>
          <w:bCs w:val="1"/>
          <w:color w:val="auto"/>
        </w:rPr>
        <w:t>Conversion Date</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3220" w:hanging="351"/>
        <w:spacing w:after="0"/>
        <w:tabs>
          <w:tab w:leader="none" w:pos="3220" w:val="left"/>
        </w:tabs>
        <w:numPr>
          <w:ilvl w:val="2"/>
          <w:numId w:val="7"/>
        </w:numPr>
        <w:rPr>
          <w:rFonts w:ascii="Arial" w:cs="Arial" w:eastAsia="Arial" w:hAnsi="Arial"/>
          <w:sz w:val="18"/>
          <w:szCs w:val="18"/>
          <w:color w:val="auto"/>
        </w:rPr>
      </w:pPr>
      <w:r>
        <w:rPr>
          <w:rFonts w:ascii="Arial" w:cs="Arial" w:eastAsia="Arial" w:hAnsi="Arial"/>
          <w:sz w:val="18"/>
          <w:szCs w:val="18"/>
          <w:color w:val="auto"/>
        </w:rPr>
        <w:t>the date that is six months following the death or Incapacity of the Founder;</w:t>
      </w:r>
    </w:p>
    <w:p>
      <w:pPr>
        <w:spacing w:after="0" w:line="117" w:lineRule="exact"/>
        <w:rPr>
          <w:rFonts w:ascii="Arial" w:cs="Arial" w:eastAsia="Arial" w:hAnsi="Arial"/>
          <w:sz w:val="18"/>
          <w:szCs w:val="18"/>
          <w:color w:val="auto"/>
        </w:rPr>
      </w:pPr>
    </w:p>
    <w:p>
      <w:pPr>
        <w:ind w:right="380" w:firstLine="2869"/>
        <w:spacing w:after="0" w:line="342" w:lineRule="auto"/>
        <w:tabs>
          <w:tab w:leader="none" w:pos="3130" w:val="left"/>
        </w:tabs>
        <w:numPr>
          <w:ilvl w:val="2"/>
          <w:numId w:val="7"/>
        </w:numPr>
        <w:rPr>
          <w:rFonts w:ascii="Arial" w:cs="Arial" w:eastAsia="Arial" w:hAnsi="Arial"/>
          <w:sz w:val="16"/>
          <w:szCs w:val="16"/>
          <w:color w:val="auto"/>
        </w:rPr>
      </w:pPr>
      <w:r>
        <w:rPr>
          <w:rFonts w:ascii="Arial" w:cs="Arial" w:eastAsia="Arial" w:hAnsi="Arial"/>
          <w:sz w:val="16"/>
          <w:szCs w:val="16"/>
          <w:color w:val="auto"/>
        </w:rPr>
        <w:t>the date that is six months following the date that the Founder is no longer providing services to the Corporation as an officer, employee, director or consultant or the date that the Founder’s employment with the Corporation is terminated for Cause;</w:t>
      </w:r>
    </w:p>
    <w:p>
      <w:pPr>
        <w:spacing w:after="0" w:line="15" w:lineRule="exact"/>
        <w:rPr>
          <w:rFonts w:ascii="Arial" w:cs="Arial" w:eastAsia="Arial" w:hAnsi="Arial"/>
          <w:sz w:val="16"/>
          <w:szCs w:val="16"/>
          <w:color w:val="auto"/>
        </w:rPr>
      </w:pPr>
    </w:p>
    <w:p>
      <w:pPr>
        <w:ind w:left="3320" w:hanging="451"/>
        <w:spacing w:after="0"/>
        <w:tabs>
          <w:tab w:leader="none" w:pos="3320" w:val="left"/>
        </w:tabs>
        <w:numPr>
          <w:ilvl w:val="2"/>
          <w:numId w:val="7"/>
        </w:numPr>
        <w:rPr>
          <w:rFonts w:ascii="Arial" w:cs="Arial" w:eastAsia="Arial" w:hAnsi="Arial"/>
          <w:sz w:val="16"/>
          <w:szCs w:val="16"/>
          <w:color w:val="auto"/>
        </w:rPr>
      </w:pPr>
      <w:r>
        <w:rPr>
          <w:rFonts w:ascii="Arial" w:cs="Arial" w:eastAsia="Arial" w:hAnsi="Arial"/>
          <w:sz w:val="16"/>
          <w:szCs w:val="16"/>
          <w:color w:val="auto"/>
        </w:rPr>
        <w:t>the date specified by the holders of a majority of the then outstanding shares of Class B Common Stock,</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voting as a separate class; and</w:t>
      </w:r>
    </w:p>
    <w:p>
      <w:pPr>
        <w:spacing w:after="0" w:line="102" w:lineRule="exact"/>
        <w:rPr>
          <w:rFonts w:ascii="Arial" w:cs="Arial" w:eastAsia="Arial" w:hAnsi="Arial"/>
          <w:sz w:val="16"/>
          <w:szCs w:val="16"/>
          <w:color w:val="auto"/>
        </w:rPr>
      </w:pPr>
    </w:p>
    <w:p>
      <w:pPr>
        <w:ind w:right="160" w:firstLine="2869"/>
        <w:spacing w:after="0" w:line="312" w:lineRule="auto"/>
        <w:tabs>
          <w:tab w:leader="none" w:pos="3170" w:val="left"/>
        </w:tabs>
        <w:numPr>
          <w:ilvl w:val="2"/>
          <w:numId w:val="7"/>
        </w:numPr>
        <w:rPr>
          <w:rFonts w:ascii="Arial" w:cs="Arial" w:eastAsia="Arial" w:hAnsi="Arial"/>
          <w:sz w:val="16"/>
          <w:szCs w:val="16"/>
          <w:color w:val="auto"/>
        </w:rPr>
      </w:pPr>
      <w:r>
        <w:rPr>
          <w:rFonts w:ascii="Arial" w:cs="Arial" w:eastAsia="Arial" w:hAnsi="Arial"/>
          <w:sz w:val="16"/>
          <w:szCs w:val="16"/>
          <w:color w:val="auto"/>
        </w:rPr>
        <w:t>the date that is the fifteen (15) year anniversary of the closing of the Corporation’s first firm commitment underwritten public offering pursuant to an effective registration statement under the Securities Act (or a registration statement under similar securities laws of any foreign jurisdiction, to the extent applicable) in connection with an offering of securities on the Securities Exchange.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6" w:name="page7"/>
    <w:bookmarkEnd w:id="6"/>
    <w:p>
      <w:pPr>
        <w:ind w:right="180" w:firstLine="2318"/>
        <w:spacing w:after="0" w:line="276" w:lineRule="auto"/>
        <w:tabs>
          <w:tab w:leader="none" w:pos="2704" w:val="left"/>
        </w:tabs>
        <w:numPr>
          <w:ilvl w:val="1"/>
          <w:numId w:val="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Final Conversion of Class B Common Stock</w:t>
      </w:r>
      <w:r>
        <w:rPr>
          <w:rFonts w:ascii="Arial" w:cs="Arial" w:eastAsia="Arial" w:hAnsi="Arial"/>
          <w:sz w:val="17"/>
          <w:szCs w:val="17"/>
          <w:color w:val="auto"/>
        </w:rPr>
        <w:t>. On the Final Conversion Date, each one (1) share of Class B Common Stock shall automatically, without any further action, convert into one (1) share of Class A Common Stock. Following such conversion, the reissuance of all shares of Class B Common Stock shall be prohibited, and such shall be retired and cancelled in accordance with Section 243 of the DGCL and the filing with the Secretary of State of the State of Delaware required thereby, and upon such retirement and cancellation, all references to Class B Common Stock in this Amended and Restated Certificate of Incorporation shall be eliminated.</w:t>
      </w:r>
    </w:p>
    <w:p>
      <w:pPr>
        <w:spacing w:after="0" w:line="64" w:lineRule="exact"/>
        <w:rPr>
          <w:rFonts w:ascii="Arial" w:cs="Arial" w:eastAsia="Arial" w:hAnsi="Arial"/>
          <w:sz w:val="17"/>
          <w:szCs w:val="17"/>
          <w:color w:val="auto"/>
        </w:rPr>
      </w:pPr>
    </w:p>
    <w:p>
      <w:pPr>
        <w:ind w:right="140" w:firstLine="2318"/>
        <w:spacing w:after="0" w:line="255" w:lineRule="auto"/>
        <w:tabs>
          <w:tab w:leader="none" w:pos="2694"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Procedures</w:t>
      </w:r>
      <w:r>
        <w:rPr>
          <w:rFonts w:ascii="Arial" w:cs="Arial" w:eastAsia="Arial" w:hAnsi="Arial"/>
          <w:sz w:val="18"/>
          <w:szCs w:val="18"/>
          <w:color w:val="auto"/>
        </w:rPr>
        <w:t>. The Corporation may, from time to time, establish such policies and procedures relating to the conversion of Class B Common Stock into Class A Common Stock and the general administration of this dual class stock structure, including the issuance of stock certificates (or the establishment of book-entry positions) with respect thereto, as it may deem reasonably necessary or advisable, and may from time to time request that holders of shares of Class B Common Stock furnish certifications, affidavits or other proof to the Corporation as it deems necessary to verify the ownership of Class B Common Stock and to confirm that a conversion into Class A Common Stock has not occurred. A determination in good faith by the Secretary of the Corporation that a Transfer results in a conversion into Class A Common Stock shall be conclusive and binding.</w:t>
      </w:r>
    </w:p>
    <w:p>
      <w:pPr>
        <w:spacing w:after="0" w:line="81" w:lineRule="exact"/>
        <w:rPr>
          <w:rFonts w:ascii="Arial" w:cs="Arial" w:eastAsia="Arial" w:hAnsi="Arial"/>
          <w:sz w:val="18"/>
          <w:szCs w:val="18"/>
          <w:color w:val="auto"/>
        </w:rPr>
      </w:pPr>
    </w:p>
    <w:p>
      <w:pPr>
        <w:ind w:right="20" w:firstLine="2318"/>
        <w:spacing w:after="0" w:line="271" w:lineRule="auto"/>
        <w:tabs>
          <w:tab w:leader="none" w:pos="2674" w:val="left"/>
        </w:tabs>
        <w:numPr>
          <w:ilvl w:val="1"/>
          <w:numId w:val="8"/>
        </w:numPr>
        <w:rPr>
          <w:rFonts w:ascii="Arial" w:cs="Arial" w:eastAsia="Arial" w:hAnsi="Arial"/>
          <w:sz w:val="17"/>
          <w:szCs w:val="17"/>
          <w:color w:val="auto"/>
        </w:rPr>
      </w:pPr>
      <w:r>
        <w:rPr>
          <w:rFonts w:ascii="Arial" w:cs="Arial" w:eastAsia="Arial" w:hAnsi="Arial"/>
          <w:sz w:val="17"/>
          <w:szCs w:val="17"/>
          <w:u w:val="single" w:color="auto"/>
          <w:color w:val="auto"/>
        </w:rPr>
        <w:t>Immediate Effect</w:t>
      </w:r>
      <w:r>
        <w:rPr>
          <w:rFonts w:ascii="Arial" w:cs="Arial" w:eastAsia="Arial" w:hAnsi="Arial"/>
          <w:sz w:val="17"/>
          <w:szCs w:val="17"/>
          <w:color w:val="auto"/>
        </w:rPr>
        <w:t>. In the event of a conversion of shares of Class B Common Stock into shares of Class A Common Stock pursuant to this Article IV, Section D.3, or upon the Final Conversion Date, such conversion(s) shall be deemed to have been made at the time that the Transfer of shares occurred or immediately upon the Final Conversion Date at 11:59 p.m. Pacific Time (unless such time is otherwise specified in accordance with Article IV, Section D.3(c)), as applicable. Upon any conversion of Class B Common Stock into Class A Common Stock, all rights of the holder of shares of Class B Common Stock shall cease and the person or persons in whose names or names the certificate or certificates (or book-entry position(s)) representing the shares of Class A Common Stock are to be issued shall be treated for all purposes as having become the record holder or holders of such shares of Class A Common Stock. Shares of Class B Common Stock that are converted into shares of Class A Common Stock as provided in this Article IV, Section D.3 shall be retired and may not be reissued.</w:t>
      </w:r>
    </w:p>
    <w:p>
      <w:pPr>
        <w:spacing w:after="0" w:line="70" w:lineRule="exact"/>
        <w:rPr>
          <w:rFonts w:ascii="Arial" w:cs="Arial" w:eastAsia="Arial" w:hAnsi="Arial"/>
          <w:sz w:val="17"/>
          <w:szCs w:val="17"/>
          <w:color w:val="auto"/>
        </w:rPr>
      </w:pPr>
    </w:p>
    <w:p>
      <w:pPr>
        <w:ind w:right="160" w:firstLine="2318"/>
        <w:spacing w:after="0" w:line="259" w:lineRule="auto"/>
        <w:tabs>
          <w:tab w:leader="none" w:pos="2704"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Reservation of Stock</w:t>
      </w:r>
      <w:r>
        <w:rPr>
          <w:rFonts w:ascii="Arial" w:cs="Arial" w:eastAsia="Arial" w:hAnsi="Arial"/>
          <w:sz w:val="18"/>
          <w:szCs w:val="18"/>
          <w:color w:val="auto"/>
        </w:rPr>
        <w:t>. The Corporation shall at all times reserve and keep available out of its authorized but unissued shares of Class A Common Stock, solely for the purpose of effecting the conversion of the shares of Class B Common Stock, such number of shares of Class A Common Stock as shall from time to time be sufficient to effect the conversion of all outstanding shares of Class B Common Stock into shares of Class A Common Stock.</w:t>
      </w:r>
    </w:p>
    <w:p>
      <w:pPr>
        <w:spacing w:after="0" w:line="186" w:lineRule="exact"/>
        <w:rPr>
          <w:rFonts w:ascii="Arial" w:cs="Arial" w:eastAsia="Arial" w:hAnsi="Arial"/>
          <w:sz w:val="18"/>
          <w:szCs w:val="18"/>
          <w:color w:val="auto"/>
        </w:rPr>
      </w:pPr>
    </w:p>
    <w:p>
      <w:pPr>
        <w:jc w:val="both"/>
        <w:ind w:firstLine="885"/>
        <w:spacing w:after="0" w:line="276" w:lineRule="auto"/>
        <w:tabs>
          <w:tab w:leader="none" w:pos="1216"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No Further Issuances</w:t>
      </w:r>
      <w:r>
        <w:rPr>
          <w:rFonts w:ascii="Arial" w:cs="Arial" w:eastAsia="Arial" w:hAnsi="Arial"/>
          <w:sz w:val="17"/>
          <w:szCs w:val="17"/>
          <w:color w:val="auto"/>
        </w:rPr>
        <w:t>. Except for the issuance of Class B Common Stock issuable upon exercise of Rights outstanding at the Class B Effective Time, a dividend payable in accordance with Article IV, Section D.2(a) or a subdivision of shares effectuated in accordance with Article IV, Section D.2(b), the Corporation shall not at any time after the Class B Effective Time issue any additional shares of Class B Common Stock, unless such issuance is approved by the affirmative vote of the holders of a majority of the outstanding shares of Class B Common Stock. After the Final Conversion Date, the Corporation shall not issue any additional shares of Class B Common Stock.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w:t>
      </w:r>
    </w:p>
    <w:p>
      <w:pPr>
        <w:spacing w:after="0" w:line="229"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The following terms, where capitalized in this Amended and Restated Certificate of Incorporation, shall have the meanings ascribed to them in this Article V:</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of the Corporation.</w:t>
      </w:r>
    </w:p>
    <w:p>
      <w:pPr>
        <w:spacing w:after="0" w:line="225" w:lineRule="exact"/>
        <w:rPr>
          <w:sz w:val="20"/>
          <w:szCs w:val="20"/>
          <w:color w:val="auto"/>
        </w:rPr>
      </w:pPr>
    </w:p>
    <w:p>
      <w:pPr>
        <w:jc w:val="both"/>
        <w:ind w:right="480" w:firstLine="44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means (i) the Founder’s unauthorized use or disclosure of the Corporation’s confidential information or trade secrets, which use or disclosure causes material harm to the Corporation, (ii) the Founder’s material breach of any agreement between the Founder and the Corporation,</w:t>
      </w:r>
    </w:p>
    <w:p>
      <w:pPr>
        <w:spacing w:after="0" w:line="1" w:lineRule="exact"/>
        <w:rPr>
          <w:sz w:val="20"/>
          <w:szCs w:val="20"/>
          <w:color w:val="auto"/>
        </w:rPr>
      </w:pPr>
    </w:p>
    <w:p>
      <w:pPr>
        <w:ind w:right="140" w:firstLine="4"/>
        <w:spacing w:after="0" w:line="281" w:lineRule="auto"/>
        <w:tabs>
          <w:tab w:leader="none" w:pos="315"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Founder’s material failure to comply with the Corporation’s written policies or rules, (iv) the Founder’s conviction of, or his plea of “guilty” or “no contest” to, a felony under the laws of the United States or any state thereof, (v) the Founder’s gross negligence or willful misconduct, (vi) the Founder’s willful and continuing failure to perform assigned duties after receiving written notification of the failure from the Board of Directors, or</w:t>
      </w:r>
    </w:p>
    <w:p>
      <w:pPr>
        <w:spacing w:after="0" w:line="2" w:lineRule="exact"/>
        <w:rPr>
          <w:rFonts w:ascii="Arial" w:cs="Arial" w:eastAsia="Arial" w:hAnsi="Arial"/>
          <w:sz w:val="16"/>
          <w:szCs w:val="16"/>
          <w:color w:val="auto"/>
        </w:rPr>
      </w:pPr>
    </w:p>
    <w:p>
      <w:pPr>
        <w:ind w:right="680" w:firstLine="4"/>
        <w:spacing w:after="0" w:line="323" w:lineRule="auto"/>
        <w:tabs>
          <w:tab w:leader="none" w:pos="3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Founder’s failure to cooperate in good faith with a governmental or internal investigation of the Corporation or its directors, officers or employees, if the Corporation has requested the Founder’s cooperation, in each case as determined in good faith by the Board of Directors.</w:t>
      </w:r>
    </w:p>
    <w:p>
      <w:pPr>
        <w:spacing w:after="0" w:line="135"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 Share Issuance</w:t>
      </w:r>
      <w:r>
        <w:rPr>
          <w:rFonts w:ascii="Arial" w:cs="Arial" w:eastAsia="Arial" w:hAnsi="Arial"/>
          <w:sz w:val="16"/>
          <w:szCs w:val="16"/>
          <w:color w:val="auto"/>
        </w:rPr>
        <w:t>” means the issuance by the Corporation, in a transaction or series of related transactions, of voting securities representing more than two percent (2%) of the total voting power of the outstanding voting securities of the Corporation (assuming Class A Common Stock and Class B Common Stock each have one (1) vote per share) before such issuance to any person or persons acting as a group as contemplated in Rule 13d-5(b) under the Exchange Act (or any successor provision) that immediately prior to such transaction or series of related transactions held fifty percent (50%) or less of the total voting power of the outstanding voting securities of the Corporation (assuming Class A Common Stock and Class B Common Stock each have one (1) vote per share), such that, immediately following such transaction or series of related transactions, such person or group of persons would hold more than fifty percent (50%) of the total voting power of the outstanding voting securities of the Corporation (assuming Class A Common Stock and Class B Common Stock each have one (1) vote per share).</w:t>
      </w:r>
    </w:p>
    <w:p>
      <w:pPr>
        <w:spacing w:after="0" w:line="160"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 Transaction</w:t>
      </w:r>
      <w:r>
        <w:rPr>
          <w:rFonts w:ascii="Arial" w:cs="Arial" w:eastAsia="Arial" w:hAnsi="Arial"/>
          <w:sz w:val="16"/>
          <w:szCs w:val="16"/>
          <w:color w:val="auto"/>
        </w:rPr>
        <w:t>” means (i) the sale, lease, exclusive license, exchange, or other disposition (other than liens and encumbrances created in the ordinary course of business, including liens or encumbrances to secure indebtedness for borrowed money that are approved by the Board of Directors, so long as no foreclosure occurs in respect of any such lien or encumbrance) of all or substantially all of the Corporation’s property and assets (which shall for such purpose include the property and assets of any direct or indirect subsidiary of the Corporation), provided that any sale, lease, exclusive license, exchange or other disposition of property or assets exclusively between or among the Corporation and any direct or indirect subsidiary or subsidiaries of the Corporation shall not be deemed a “</w:t>
      </w:r>
      <w:r>
        <w:rPr>
          <w:rFonts w:ascii="Arial" w:cs="Arial" w:eastAsia="Arial" w:hAnsi="Arial"/>
          <w:sz w:val="16"/>
          <w:szCs w:val="16"/>
          <w:b w:val="1"/>
          <w:bCs w:val="1"/>
          <w:color w:val="auto"/>
        </w:rPr>
        <w:t>Change of Control Transaction</w:t>
      </w:r>
      <w:r>
        <w:rPr>
          <w:rFonts w:ascii="Arial" w:cs="Arial" w:eastAsia="Arial" w:hAnsi="Arial"/>
          <w:sz w:val="16"/>
          <w:szCs w:val="16"/>
          <w:color w:val="auto"/>
        </w:rPr>
        <w:t xml:space="preserve">”; (ii) the merger, consolidation, business combination, or other similar transaction of the Corporation with any other entity, other than a merger, consolidation, business combination, or other similar transaction that would result in the voting securities of the Corporation outstanding immediately prior thereto continuing to represent (either by remaining outstanding or by being converted into voting securities of the surviving entity or its parent) more than fifty percent (50%) of the total voting power represented by the outstanding voting securities of the Corporation </w:t>
      </w:r>
      <w:r>
        <w:rPr>
          <w:rFonts w:ascii="Arial" w:cs="Arial" w:eastAsia="Arial" w:hAnsi="Arial"/>
          <w:sz w:val="16"/>
          <w:szCs w:val="16"/>
          <w:i w:val="1"/>
          <w:iCs w:val="1"/>
          <w:color w:val="auto"/>
        </w:rPr>
        <w:t>and</w:t>
      </w:r>
      <w:r>
        <w:rPr>
          <w:rFonts w:ascii="Arial" w:cs="Arial" w:eastAsia="Arial" w:hAnsi="Arial"/>
          <w:sz w:val="16"/>
          <w:szCs w:val="16"/>
          <w:color w:val="auto"/>
        </w:rPr>
        <w:t xml:space="preserve"> more than fifty percent (50%) of the total number of outstanding shares of the Corporation’s capital stock, in each case as outstanding immediately after such merger, consolidation, business combination, or other similar transaction, and the stockholders of the Corporation immediately prior to the merger, consolidation, business combination, or other similar transaction continuing to own voting securities of the Corporation, the surviving entity or its parent immediately following the merger, consolidation, business combination, or other similar transaction in substantially the same proportions (vis a vis each other) as such stockholders owned of the voting securities of the Corporation immediately prior to the transaction; (iii) a recapitalization, liquidation, dissolution, 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0" w:right="439" w:bottom="1440" w:gutter="0" w:footer="0" w:header="0"/>
        </w:sectPr>
      </w:pPr>
    </w:p>
    <w:bookmarkStart w:id="8" w:name="page9"/>
    <w:bookmarkEnd w:id="8"/>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other similar transaction involving the Corporation, other than a recapitalization, liquidation, dissolution, or other similar transaction that would result in the voting securities of the Corporation outstanding immediately prior thereto continuing to represent (either by remaining outstanding or being converted into voting securities of the surviving entity or its parent) more than fifty percent (50%) of the total voting power represented by the voting securities of the Corporation </w:t>
      </w:r>
      <w:r>
        <w:rPr>
          <w:rFonts w:ascii="Arial" w:cs="Arial" w:eastAsia="Arial" w:hAnsi="Arial"/>
          <w:sz w:val="17"/>
          <w:szCs w:val="17"/>
          <w:i w:val="1"/>
          <w:iCs w:val="1"/>
          <w:color w:val="auto"/>
        </w:rPr>
        <w:t>and</w:t>
      </w:r>
      <w:r>
        <w:rPr>
          <w:rFonts w:ascii="Arial" w:cs="Arial" w:eastAsia="Arial" w:hAnsi="Arial"/>
          <w:sz w:val="17"/>
          <w:szCs w:val="17"/>
          <w:color w:val="auto"/>
        </w:rPr>
        <w:t xml:space="preserve"> more than fifty percent (50%) of the total number of outstanding shares of the Corporation’s capital stock, in each case as outstanding immediately after such recapitalization, liquidation, dissolution or other similar transaction, and the stockholders of the Corporation immediately prior to the recapitalization, liquidation, dissolution or other similar transaction continuing to own voting securities of the Corporation, the surviving entity or its parent immediately following the recapitalization, liquidation, dissolution or other similar transaction in substantially the same proportions (vis a vis each other) as such stockholders owned of the voting securities of the Corporation immediately prior to the transaction; and (iv) any Change of Control Share Issuance.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Effective Time</w:t>
      </w:r>
      <w:r>
        <w:rPr>
          <w:rFonts w:ascii="Arial" w:cs="Arial" w:eastAsia="Arial" w:hAnsi="Arial"/>
          <w:sz w:val="18"/>
          <w:szCs w:val="18"/>
          <w:color w:val="auto"/>
        </w:rPr>
        <w:t>” means November 13, 2018.</w:t>
      </w:r>
    </w:p>
    <w:p>
      <w:pPr>
        <w:spacing w:after="0" w:line="225" w:lineRule="exact"/>
        <w:rPr>
          <w:sz w:val="20"/>
          <w:szCs w:val="20"/>
          <w:color w:val="auto"/>
        </w:rPr>
      </w:pPr>
    </w:p>
    <w:p>
      <w:pPr>
        <w:ind w:right="8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Controlled Company Exemption</w:t>
      </w:r>
      <w:r>
        <w:rPr>
          <w:rFonts w:ascii="Arial" w:cs="Arial" w:eastAsia="Arial" w:hAnsi="Arial"/>
          <w:sz w:val="18"/>
          <w:szCs w:val="18"/>
          <w:color w:val="auto"/>
        </w:rPr>
        <w:t>” means, if and to the extent otherwise applicable to the Corporation, the exemptions from the corporate governance rules and requirements of the Securities Exchange available to any company that constitutes a “controlled company” within the meaning of the corporate governance rules and requirements of the Securities Exchange.</w:t>
      </w:r>
    </w:p>
    <w:p>
      <w:pPr>
        <w:spacing w:after="0" w:line="176" w:lineRule="exact"/>
        <w:rPr>
          <w:sz w:val="20"/>
          <w:szCs w:val="20"/>
          <w:color w:val="auto"/>
        </w:rPr>
      </w:pPr>
    </w:p>
    <w:p>
      <w:pPr>
        <w:ind w:right="4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Distribution</w:t>
      </w:r>
      <w:r>
        <w:rPr>
          <w:rFonts w:ascii="Arial" w:cs="Arial" w:eastAsia="Arial" w:hAnsi="Arial"/>
          <w:sz w:val="18"/>
          <w:szCs w:val="18"/>
          <w:color w:val="auto"/>
        </w:rPr>
        <w:t>” means (i) any dividend or distribution of cash, property or shares of the Corporation’s capital stock, if, as and when declared from time to time by the Board of Directors; and (ii) any distribution following or in connection with any liquidation, dissolution or winding up of the Corporation, either voluntary or involuntary.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United States Securities Exchange Act of 1934, as amended.</w:t>
      </w:r>
    </w:p>
    <w:p>
      <w:pPr>
        <w:spacing w:after="0" w:line="225"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Family Member</w:t>
      </w:r>
      <w:r>
        <w:rPr>
          <w:rFonts w:ascii="Arial" w:cs="Arial" w:eastAsia="Arial" w:hAnsi="Arial"/>
          <w:sz w:val="18"/>
          <w:szCs w:val="18"/>
          <w:color w:val="auto"/>
        </w:rPr>
        <w:t>” means an individual’s spouse, ex-spouse, domestic partner, lineal (including by adoption) descendant or antecedent, brother or sister, the adopted child or adopted grandchild, or the spouse or domestic partner of any child, adopted child, grandchild or adopted grandchild of such individual.</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Founder</w:t>
      </w:r>
      <w:r>
        <w:rPr>
          <w:rFonts w:ascii="Arial" w:cs="Arial" w:eastAsia="Arial" w:hAnsi="Arial"/>
          <w:sz w:val="18"/>
          <w:szCs w:val="18"/>
          <w:color w:val="auto"/>
        </w:rPr>
        <w:t>” means Eric S. Yuan, an individual.</w:t>
      </w:r>
    </w:p>
    <w:p>
      <w:pPr>
        <w:spacing w:after="0" w:line="225" w:lineRule="exact"/>
        <w:rPr>
          <w:sz w:val="20"/>
          <w:szCs w:val="20"/>
          <w:color w:val="auto"/>
        </w:rPr>
      </w:pPr>
    </w:p>
    <w:p>
      <w:pPr>
        <w:jc w:val="both"/>
        <w:ind w:right="80"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Incapacity</w:t>
      </w:r>
      <w:r>
        <w:rPr>
          <w:rFonts w:ascii="Arial" w:cs="Arial" w:eastAsia="Arial" w:hAnsi="Arial"/>
          <w:sz w:val="18"/>
          <w:szCs w:val="18"/>
          <w:color w:val="auto"/>
        </w:rPr>
        <w:t>” means, with respect to an individual, that such individual is incapable of managing his or her financial affairs under the criteria set forth in the applicable probate code that can be expected to result in death or which has lasted or can be expected to last for a continuous period of not less than twelve (12) months as determined by a licensed medical practitioner. In the event of a dispute regarding whether an individual has suffered an Incapacity, no Incapacity of such individual will be deemed to have occurred unless and until an affirmative ruling regarding such Incapacity has been made by a court of competent jurisdiction.</w:t>
      </w:r>
    </w:p>
    <w:p>
      <w:pPr>
        <w:spacing w:after="0" w:line="184" w:lineRule="exact"/>
        <w:rPr>
          <w:sz w:val="20"/>
          <w:szCs w:val="20"/>
          <w:color w:val="auto"/>
        </w:rPr>
      </w:pPr>
    </w:p>
    <w:p>
      <w:pPr>
        <w:ind w:right="4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means, with respect to an entity, any entity that directly or indirectly owns or controls a majority of the voting power of the voting securities of such entity.</w:t>
      </w:r>
    </w:p>
    <w:p>
      <w:pPr>
        <w:spacing w:after="0" w:line="162" w:lineRule="exact"/>
        <w:rPr>
          <w:sz w:val="20"/>
          <w:szCs w:val="20"/>
          <w:color w:val="auto"/>
        </w:rPr>
      </w:pPr>
    </w:p>
    <w:p>
      <w:pPr>
        <w:ind w:right="80" w:firstLine="44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Entity</w:t>
      </w:r>
      <w:r>
        <w:rPr>
          <w:rFonts w:ascii="Arial" w:cs="Arial" w:eastAsia="Arial" w:hAnsi="Arial"/>
          <w:sz w:val="16"/>
          <w:szCs w:val="16"/>
          <w:color w:val="auto"/>
        </w:rPr>
        <w:t>” means, with respect to a Qualified Stockholder, (i) a Permitted Trust solely for the benefit of (A) such Qualified Stockholder and/or (B) any other Permitted Entity of such Qualified Stockholder, or (ii) any general partnership, limited partnership, limited liability company, corporation or other entity exclusively owned by (A) such Qualified Stockholder and/or (B) any other Permitted Entity of such Qualified Stockholder.</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Transfer</w:t>
      </w:r>
      <w:r>
        <w:rPr>
          <w:rFonts w:ascii="Arial" w:cs="Arial" w:eastAsia="Arial" w:hAnsi="Arial"/>
          <w:sz w:val="17"/>
          <w:szCs w:val="17"/>
          <w:color w:val="auto"/>
        </w:rPr>
        <w:t>” means, and is restricted to, any Transfer of a share of Class B Common Stock that satisfies the following requirements: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9" w:name="page10"/>
    <w:bookmarkEnd w:id="9"/>
    <w:p>
      <w:pPr>
        <w:ind w:right="100" w:firstLine="885"/>
        <w:spacing w:after="0" w:line="286" w:lineRule="auto"/>
        <w:tabs>
          <w:tab w:leader="none" w:pos="1261" w:val="left"/>
        </w:tabs>
        <w:numPr>
          <w:ilvl w:val="0"/>
          <w:numId w:val="1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Transfer by a Qualified Stockholder to (A) any Permitted Entity of such Qualified Stockholder, (B) such Qualified Stockholder’s Family Members or to a trust or trusts or other estate planning vehicle for the benefit of such Qualified Stockholder’s Family Members, in each case so long as such Qualified Stockholder continues to exercise Voting Control over such shares, or (C) the Founder; or</w:t>
      </w:r>
    </w:p>
    <w:p>
      <w:pPr>
        <w:spacing w:after="0" w:line="57" w:lineRule="exact"/>
        <w:rPr>
          <w:rFonts w:ascii="Arial" w:cs="Arial" w:eastAsia="Arial" w:hAnsi="Arial"/>
          <w:sz w:val="17"/>
          <w:szCs w:val="17"/>
          <w:color w:val="auto"/>
        </w:rPr>
      </w:pPr>
    </w:p>
    <w:p>
      <w:pPr>
        <w:ind w:right="320" w:firstLine="885"/>
        <w:spacing w:after="0" w:line="277" w:lineRule="auto"/>
        <w:tabs>
          <w:tab w:leader="none" w:pos="1271"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Transfer by a Permitted Entity of a Qualified Stockholder to (A) such Qualified Stockholder or (B) any other Permitted Entity of such Qualified Stockholder.</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Transferee</w:t>
      </w:r>
      <w:r>
        <w:rPr>
          <w:rFonts w:ascii="Arial" w:cs="Arial" w:eastAsia="Arial" w:hAnsi="Arial"/>
          <w:sz w:val="17"/>
          <w:szCs w:val="17"/>
          <w:color w:val="auto"/>
        </w:rPr>
        <w:t>” means a transferee of shares of Class B Common Stock received in a Transfer that constitutes a Permitted Transfer.</w:t>
      </w:r>
    </w:p>
    <w:p>
      <w:pPr>
        <w:spacing w:after="0" w:line="237" w:lineRule="exact"/>
        <w:rPr>
          <w:sz w:val="20"/>
          <w:szCs w:val="20"/>
          <w:color w:val="auto"/>
        </w:rPr>
      </w:pPr>
    </w:p>
    <w:p>
      <w:pPr>
        <w:ind w:right="3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Trust</w:t>
      </w:r>
      <w:r>
        <w:rPr>
          <w:rFonts w:ascii="Arial" w:cs="Arial" w:eastAsia="Arial" w:hAnsi="Arial"/>
          <w:sz w:val="18"/>
          <w:szCs w:val="18"/>
          <w:color w:val="auto"/>
        </w:rPr>
        <w:t>” means a bona fide trust where each trustee is (i) a Qualified Stockholder or (ii) a professional in the business of providing trustee services, including private professional fiduciaries, trust companies and bank trust departments.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Qualified Stockholder</w:t>
      </w:r>
      <w:r>
        <w:rPr>
          <w:rFonts w:ascii="Arial" w:cs="Arial" w:eastAsia="Arial" w:hAnsi="Arial"/>
          <w:sz w:val="16"/>
          <w:szCs w:val="16"/>
          <w:color w:val="auto"/>
        </w:rPr>
        <w:t>” means (i) the registered holder of a share of Class B Common Stock immediately following the Class B Effective Time;</w:t>
      </w:r>
    </w:p>
    <w:p>
      <w:pPr>
        <w:spacing w:after="0" w:line="50" w:lineRule="exact"/>
        <w:rPr>
          <w:sz w:val="20"/>
          <w:szCs w:val="20"/>
          <w:color w:val="auto"/>
        </w:rPr>
      </w:pPr>
    </w:p>
    <w:p>
      <w:pPr>
        <w:ind w:right="120" w:firstLine="4"/>
        <w:spacing w:after="0" w:line="255" w:lineRule="auto"/>
        <w:tabs>
          <w:tab w:leader="none" w:pos="2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initial registered holder of any shares of Class B Common Stock that are originally issued by this Corporation pursuant to the exercise, conversion or settlement of a Right; (iii) each natural person who Transfers shares of or Rights for Class B Common Stock to a Permitted Entity that is or becomes a Qualified Stockholder; or (iv) a Permitted Transferee.</w:t>
      </w:r>
    </w:p>
    <w:p>
      <w:pPr>
        <w:spacing w:after="0" w:line="186" w:lineRule="exact"/>
        <w:rPr>
          <w:sz w:val="20"/>
          <w:szCs w:val="20"/>
          <w:color w:val="auto"/>
        </w:rPr>
      </w:pPr>
    </w:p>
    <w:p>
      <w:pPr>
        <w:ind w:right="70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Rights</w:t>
      </w:r>
      <w:r>
        <w:rPr>
          <w:rFonts w:ascii="Arial" w:cs="Arial" w:eastAsia="Arial" w:hAnsi="Arial"/>
          <w:sz w:val="16"/>
          <w:szCs w:val="16"/>
          <w:color w:val="auto"/>
        </w:rPr>
        <w:t>” means any option, restricted stock unit, warrant, conversion right or contractual right of any kind to acquire (through purchase, conversion or otherwise) shares of the Corporation’s authorized but unissued capital stock (or issued but not outstanding capital stock).</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United States Securities Act of 1933, as amended.</w:t>
      </w:r>
    </w:p>
    <w:p>
      <w:pPr>
        <w:spacing w:after="0" w:line="225" w:lineRule="exact"/>
        <w:rPr>
          <w:sz w:val="20"/>
          <w:szCs w:val="20"/>
          <w:color w:val="auto"/>
        </w:rPr>
      </w:pPr>
    </w:p>
    <w:p>
      <w:pPr>
        <w:ind w:right="60" w:firstLine="44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Securities Exchange</w:t>
      </w:r>
      <w:r>
        <w:rPr>
          <w:rFonts w:ascii="Arial" w:cs="Arial" w:eastAsia="Arial" w:hAnsi="Arial"/>
          <w:sz w:val="17"/>
          <w:szCs w:val="17"/>
          <w:color w:val="auto"/>
        </w:rPr>
        <w:t>” means, at any time, the registered national securities exchange on which the Corporation’s equity securities are then principally listed or traded, which shall be the New York Stock Exchange or Nasdaq Global Market (or similar national quotation system of the Nasdaq Stock Market) (“</w:t>
      </w:r>
      <w:r>
        <w:rPr>
          <w:rFonts w:ascii="Arial" w:cs="Arial" w:eastAsia="Arial" w:hAnsi="Arial"/>
          <w:sz w:val="17"/>
          <w:szCs w:val="17"/>
          <w:b w:val="1"/>
          <w:bCs w:val="1"/>
          <w:color w:val="auto"/>
        </w:rPr>
        <w:t>Nasdaq</w:t>
      </w:r>
      <w:r>
        <w:rPr>
          <w:rFonts w:ascii="Arial" w:cs="Arial" w:eastAsia="Arial" w:hAnsi="Arial"/>
          <w:sz w:val="17"/>
          <w:szCs w:val="17"/>
          <w:color w:val="auto"/>
        </w:rPr>
        <w:t>”) or any successor exchange of either the New York Stock Exchange or Nasdaq.</w:t>
      </w:r>
    </w:p>
    <w:p>
      <w:pPr>
        <w:spacing w:after="0" w:line="158" w:lineRule="exact"/>
        <w:rPr>
          <w:sz w:val="20"/>
          <w:szCs w:val="20"/>
          <w:color w:val="auto"/>
        </w:rPr>
      </w:pPr>
    </w:p>
    <w:p>
      <w:pPr>
        <w:ind w:right="80"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means, with respect to a share of Class B Common Stock, any sale, assignment, transfer, conveyance, hypothecation or other transfer or disposition of such share or any legal or beneficial interest in such share, whether or not for value and whether voluntary or involuntary or by operation of law, including, without limitation, a transfer to a broker or other nominee (regardless of whether there is a corresponding change in beneficial ownership), or the transfer of, or entering into a binding agreement with respect to, Voting Control over such share by proxy or otherwise; provided that the following shall not be considered a “Transfer”:</w:t>
      </w:r>
    </w:p>
    <w:p>
      <w:pPr>
        <w:spacing w:after="0" w:line="80" w:lineRule="exact"/>
        <w:rPr>
          <w:sz w:val="20"/>
          <w:szCs w:val="20"/>
          <w:color w:val="auto"/>
        </w:rPr>
      </w:pPr>
    </w:p>
    <w:p>
      <w:pPr>
        <w:ind w:right="40" w:firstLine="885"/>
        <w:spacing w:after="0" w:line="277" w:lineRule="auto"/>
        <w:tabs>
          <w:tab w:leader="none" w:pos="126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granting of a revocable proxy to officers or directors or agents of the Corporation with the approval and at the request of the Board of Directors in connection with actions to be taken at an annual or special meeting of stockholders;</w:t>
      </w:r>
    </w:p>
    <w:p>
      <w:pPr>
        <w:spacing w:after="0" w:line="62" w:lineRule="exact"/>
        <w:rPr>
          <w:rFonts w:ascii="Arial" w:cs="Arial" w:eastAsia="Arial" w:hAnsi="Arial"/>
          <w:sz w:val="18"/>
          <w:szCs w:val="18"/>
          <w:color w:val="auto"/>
        </w:rPr>
      </w:pPr>
    </w:p>
    <w:p>
      <w:pPr>
        <w:ind w:right="40" w:firstLine="885"/>
        <w:spacing w:after="0" w:line="257" w:lineRule="auto"/>
        <w:tabs>
          <w:tab w:leader="none" w:pos="1271"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entering into a voting trust, agreement or arrangement (with or without granting a proxy) solely with stockholders who are holders of Class B Common Stock that (A) is disclosed either in a Schedule 13D filed with the Securities and Exchange Commission or in writing to the Secretary of this Corporation, (B) either has a term not exceeding one (1) year or is terminable by the holder of the shares subject thereto at any time and (C) does not involve any payment of cash, securities, property or other consideration to the holder of the shares subject thereto other than the mutual promise to vote shares in a designated manner;</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0" w:name="page11"/>
    <w:bookmarkEnd w:id="10"/>
    <w:p>
      <w:pPr>
        <w:jc w:val="both"/>
        <w:ind w:right="380" w:firstLine="885"/>
        <w:spacing w:after="0" w:line="264" w:lineRule="auto"/>
        <w:tabs>
          <w:tab w:leader="none" w:pos="1261"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a Change of Control Transaction that has been approved by the Board of Directors, the entering into a support, voting, tender or similar agreement or arrangement (in each case, with or without the grant of a proxy) that has also been approved by the Board of Directors; or</w:t>
      </w:r>
    </w:p>
    <w:p>
      <w:pPr>
        <w:spacing w:after="0" w:line="73" w:lineRule="exact"/>
        <w:rPr>
          <w:rFonts w:ascii="Arial" w:cs="Arial" w:eastAsia="Arial" w:hAnsi="Arial"/>
          <w:sz w:val="18"/>
          <w:szCs w:val="18"/>
          <w:color w:val="auto"/>
        </w:rPr>
      </w:pPr>
    </w:p>
    <w:p>
      <w:pPr>
        <w:ind w:right="80" w:firstLine="885"/>
        <w:spacing w:after="0" w:line="259" w:lineRule="auto"/>
        <w:tabs>
          <w:tab w:leader="none" w:pos="127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pledge of shares of Class B Common Stock by a stockholder that creates a mere security interest in such shares pursuant to a bona fide loan or indebtedness transaction for so long as such stockholder continues to exercise Voting Control over such pledged shares; provided that a foreclosure on such shares or other similar action by the pledgee shall constitute a “Transfer” unless such foreclosure or similar action qualifies as a “Permitted Transfer”;</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provided that a “Transfer” shall be deemed to have occurred with respect to a share of Class B Common Stock beneficially held by (y) an entity that is a Permitted Entity, if there occurs any act or circumstance that causes such entity to no longer be a Permitted Entity, or (z) an entity that is a Qualified Stockholder, if there occurs a Transfer on a cumulative basis, from and after the Class B Effective Time, of a majority of the voting power of the voting securities of such entity or any direct or indirect Parent of such entity, other than a Transfer to parties that are, as of the Class B Effective Time, holders of voting securities of any such entity or Parent of such entity.</w:t>
      </w:r>
    </w:p>
    <w:p>
      <w:pPr>
        <w:spacing w:after="0" w:line="184" w:lineRule="exact"/>
        <w:rPr>
          <w:sz w:val="20"/>
          <w:szCs w:val="20"/>
          <w:color w:val="auto"/>
        </w:rPr>
      </w:pPr>
    </w:p>
    <w:p>
      <w:pPr>
        <w:ind w:right="3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Control</w:t>
      </w:r>
      <w:r>
        <w:rPr>
          <w:rFonts w:ascii="Arial" w:cs="Arial" w:eastAsia="Arial" w:hAnsi="Arial"/>
          <w:sz w:val="18"/>
          <w:szCs w:val="18"/>
          <w:color w:val="auto"/>
        </w:rPr>
        <w:t>” means the power (whether directly or indirectly) to vote or direct the voting of an equity interest, interest in a trust or other interest or security by proxy, voting agreement, or otherwise.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9" w:lineRule="exact"/>
        <w:rPr>
          <w:sz w:val="20"/>
          <w:szCs w:val="20"/>
          <w:color w:val="auto"/>
        </w:rPr>
      </w:pPr>
    </w:p>
    <w:p>
      <w:pPr>
        <w:ind w:left="800" w:hanging="356"/>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General Powers</w:t>
      </w:r>
      <w:r>
        <w:rPr>
          <w:rFonts w:ascii="Arial" w:cs="Arial" w:eastAsia="Arial" w:hAnsi="Arial"/>
          <w:sz w:val="17"/>
          <w:szCs w:val="17"/>
          <w:color w:val="auto"/>
        </w:rPr>
        <w:t>. The business and affairs of the Corporation shall be managed by or under the direction of the Board of Directors.</w:t>
      </w:r>
    </w:p>
    <w:p>
      <w:pPr>
        <w:spacing w:after="0" w:line="236" w:lineRule="exact"/>
        <w:rPr>
          <w:rFonts w:ascii="Arial" w:cs="Arial" w:eastAsia="Arial" w:hAnsi="Arial"/>
          <w:sz w:val="17"/>
          <w:szCs w:val="17"/>
          <w:color w:val="auto"/>
        </w:rPr>
      </w:pPr>
    </w:p>
    <w:p>
      <w:pPr>
        <w:ind w:firstLine="444"/>
        <w:spacing w:after="0" w:line="257" w:lineRule="auto"/>
        <w:tabs>
          <w:tab w:leader="none" w:pos="786"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Number of Directors; Election</w:t>
      </w:r>
      <w:r>
        <w:rPr>
          <w:rFonts w:ascii="Arial" w:cs="Arial" w:eastAsia="Arial" w:hAnsi="Arial"/>
          <w:sz w:val="18"/>
          <w:szCs w:val="18"/>
          <w:color w:val="auto"/>
        </w:rPr>
        <w:t>. Subject to the rights of holders of any series of Preferred Stock with respect to the election of directors, the number of directors that constitutes the entire Board of Directors of the Corporation shall be fixed solely by resolution of the Board of Directors. Subject to the rights of holders of any series of Preferred Stock with respect to the election of directors, each director of the Corporation shall hold office until the expiration of the term for which he or she is elected and until his or her successor has been duly elected and qualified or until his or her earlier resignation, death, disqualification or removal.</w:t>
      </w:r>
    </w:p>
    <w:p>
      <w:pPr>
        <w:spacing w:after="0" w:line="188" w:lineRule="exact"/>
        <w:rPr>
          <w:rFonts w:ascii="Arial" w:cs="Arial" w:eastAsia="Arial" w:hAnsi="Arial"/>
          <w:sz w:val="18"/>
          <w:szCs w:val="18"/>
          <w:color w:val="auto"/>
        </w:rPr>
      </w:pPr>
    </w:p>
    <w:p>
      <w:pPr>
        <w:ind w:right="40" w:firstLine="444"/>
        <w:spacing w:after="0" w:line="288" w:lineRule="auto"/>
        <w:tabs>
          <w:tab w:leader="none" w:pos="786"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Classified Board Structure</w:t>
      </w:r>
      <w:r>
        <w:rPr>
          <w:rFonts w:ascii="Arial" w:cs="Arial" w:eastAsia="Arial" w:hAnsi="Arial"/>
          <w:sz w:val="16"/>
          <w:szCs w:val="16"/>
          <w:color w:val="auto"/>
        </w:rPr>
        <w:t>. From and after the effectiveness of the filing of the Amended and Restated Certificate of Incorporation first inserting this sentence with the Secretary of State of the State of Delaware (the “</w:t>
      </w:r>
      <w:r>
        <w:rPr>
          <w:rFonts w:ascii="Arial" w:cs="Arial" w:eastAsia="Arial" w:hAnsi="Arial"/>
          <w:sz w:val="16"/>
          <w:szCs w:val="16"/>
          <w:b w:val="1"/>
          <w:bCs w:val="1"/>
          <w:color w:val="auto"/>
        </w:rPr>
        <w:t>Effective Time</w:t>
      </w:r>
      <w:r>
        <w:rPr>
          <w:rFonts w:ascii="Arial" w:cs="Arial" w:eastAsia="Arial" w:hAnsi="Arial"/>
          <w:sz w:val="16"/>
          <w:szCs w:val="16"/>
          <w:color w:val="auto"/>
        </w:rPr>
        <w:t>”), and subject to the rights of holders of any series of Preferred Stock with respect to the election of directors, the directors of the Corporation shall be divided into three (3) classes as nearly equal in size as is practicable, hereby designated Class I, Class II and Class III. The Board of Directors may assign members of the Board of Directors already in office to such classes at the time such classification becomes effective. The term of office of the initial Class I directors shall expire at the first annual meeting of stockholders following the Effective Time, the term of office of the initial Class II directors shall expire at the second annual meeting of stockholders following the Effective Time and the term of office of the initial Class III directors shall expire at the third annual meeting of stockholders following the Effective Time. At each annual meeting of stockholders, commencing with the first annual meeting of stockholders following the Effective Time, each of the successors elected to replace the directors of a class whose term shall have expired at such annual meeting shall be elected to hold office until the third annual meeting next succeeding his or her election and until his or her respective successor shall have been duly elected and qualified.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1" w:name="page12"/>
    <w:bookmarkEnd w:id="11"/>
    <w:p>
      <w:pPr>
        <w:ind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provisions of this Article VI, and subject to the rights of holders of any series of Preferred Stock with respect to the election of directors, each director shall serve until his or her successor is duly elected and qualified or until his or her death, resignation, disqualification, or removal. Subject to the rights of holders of any series of Preferred Stock with respect to the election of directors, if the number of directors is hereafter changed, any newly created directorships or decrease in directorships shall be so apportioned among the classes as to make all classes as nearly equal in number as is practicable, provided that no decrease in the number of directors constituting the Board of Directors shall shorten the term of any incumbent director.</w:t>
      </w:r>
    </w:p>
    <w:p>
      <w:pPr>
        <w:spacing w:after="0" w:line="193" w:lineRule="exact"/>
        <w:rPr>
          <w:sz w:val="20"/>
          <w:szCs w:val="20"/>
          <w:color w:val="auto"/>
        </w:rPr>
      </w:pPr>
    </w:p>
    <w:p>
      <w:pPr>
        <w:ind w:right="120" w:firstLine="444"/>
        <w:spacing w:after="0" w:line="272" w:lineRule="auto"/>
        <w:tabs>
          <w:tab w:leader="none" w:pos="796"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Removal; Vacancies</w:t>
      </w:r>
      <w:r>
        <w:rPr>
          <w:rFonts w:ascii="Arial" w:cs="Arial" w:eastAsia="Arial" w:hAnsi="Arial"/>
          <w:sz w:val="17"/>
          <w:szCs w:val="17"/>
          <w:color w:val="auto"/>
        </w:rPr>
        <w:t>. Subject to the rights of holders of any series of Preferred Stock with respect to the election of directors, for so long as the Board of Directors is divided into classes pursuant to Article VI, Section C, any director may be removed from office by the stockholders of the Corporation only for cause. Vacancies occurring on the Board of Directors for any reason and newly created directorships resulting from an increase in the authorized number of directors may be filled only by vote of a majority of the remaining members of the Board of Directors (and not by the stockholders), although less than a quorum, or by a sole remaining director, at any meeting of the Board of Directors. A person so elected by the Board of Directors to fill a vacancy or newly created directorship shall hold office until the next election of the class for which such director shall have been chosen and until his or her successor shall be duly elected and qualified.</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29" w:lineRule="exact"/>
        <w:rPr>
          <w:sz w:val="20"/>
          <w:szCs w:val="20"/>
          <w:color w:val="auto"/>
        </w:rPr>
      </w:pPr>
    </w:p>
    <w:p>
      <w:pPr>
        <w:ind w:left="800" w:hanging="35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Written Ballot</w:t>
      </w:r>
      <w:r>
        <w:rPr>
          <w:rFonts w:ascii="Arial" w:cs="Arial" w:eastAsia="Arial" w:hAnsi="Arial"/>
          <w:sz w:val="18"/>
          <w:szCs w:val="18"/>
          <w:color w:val="auto"/>
        </w:rPr>
        <w:t>. Elections of directors need not be by written ballot unless the Bylaws of the Corporation shall so provide.</w:t>
      </w:r>
    </w:p>
    <w:p>
      <w:pPr>
        <w:spacing w:after="0" w:line="225" w:lineRule="exact"/>
        <w:rPr>
          <w:rFonts w:ascii="Arial" w:cs="Arial" w:eastAsia="Arial" w:hAnsi="Arial"/>
          <w:sz w:val="18"/>
          <w:szCs w:val="18"/>
          <w:color w:val="auto"/>
        </w:rPr>
      </w:pPr>
    </w:p>
    <w:p>
      <w:pPr>
        <w:ind w:right="20" w:firstLine="444"/>
        <w:spacing w:after="0" w:line="312" w:lineRule="auto"/>
        <w:tabs>
          <w:tab w:leader="none" w:pos="786"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Amendment of Bylaws</w:t>
      </w:r>
      <w:r>
        <w:rPr>
          <w:rFonts w:ascii="Arial" w:cs="Arial" w:eastAsia="Arial" w:hAnsi="Arial"/>
          <w:sz w:val="16"/>
          <w:szCs w:val="16"/>
          <w:color w:val="auto"/>
        </w:rPr>
        <w:t>. In furtherance and not in limitation of the powers conferred by statute, the Board of Directors is expressly authorized to adopt, amend or repeal the Bylaws of the Corporation; provided that an amendment to the Bylaws of the Corporation adopted by stockholders which specifies the votes that shall be necessary for the election of directors shall not be further amended or repealed by the Board of Directors.</w:t>
      </w:r>
    </w:p>
    <w:p>
      <w:pPr>
        <w:spacing w:after="0" w:line="146" w:lineRule="exact"/>
        <w:rPr>
          <w:rFonts w:ascii="Arial" w:cs="Arial" w:eastAsia="Arial" w:hAnsi="Arial"/>
          <w:sz w:val="16"/>
          <w:szCs w:val="16"/>
          <w:color w:val="auto"/>
        </w:rPr>
      </w:pPr>
    </w:p>
    <w:p>
      <w:pPr>
        <w:ind w:right="20" w:firstLine="444"/>
        <w:spacing w:after="0" w:line="259" w:lineRule="auto"/>
        <w:tabs>
          <w:tab w:leader="none" w:pos="786"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stockholders may be called only by (i) the Board of Directors pursuant to a resolution adopted by a majority of the total number of directors (after giving effect to vacancies and previously authorized but unfilled directorships); (ii) the chairman of the Board of Directors; (iii) the chief executive officer of the Corporation; or (iv) the president of the Corporation (in the absence of a chief executive officer).</w:t>
      </w:r>
    </w:p>
    <w:p>
      <w:pPr>
        <w:spacing w:after="0" w:line="186" w:lineRule="exact"/>
        <w:rPr>
          <w:rFonts w:ascii="Arial" w:cs="Arial" w:eastAsia="Arial" w:hAnsi="Arial"/>
          <w:sz w:val="18"/>
          <w:szCs w:val="18"/>
          <w:color w:val="auto"/>
        </w:rPr>
      </w:pPr>
    </w:p>
    <w:p>
      <w:pPr>
        <w:ind w:right="40" w:firstLine="444"/>
        <w:spacing w:after="0" w:line="264" w:lineRule="auto"/>
        <w:tabs>
          <w:tab w:leader="none" w:pos="796"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No Stockholder Action by Written Consent</w:t>
      </w:r>
      <w:r>
        <w:rPr>
          <w:rFonts w:ascii="Arial" w:cs="Arial" w:eastAsia="Arial" w:hAnsi="Arial"/>
          <w:sz w:val="18"/>
          <w:szCs w:val="18"/>
          <w:color w:val="auto"/>
        </w:rPr>
        <w:t>. Subject to the rights of holders of any series of Preferred Stock, no action shall be taken by the stockholders of the Corporation except at an annual or special meeting of the stockholders called in accordance with the Bylaws of the Corporation, and no action shall be taken by the stockholders by written consent.</w:t>
      </w:r>
    </w:p>
    <w:p>
      <w:pPr>
        <w:spacing w:after="0" w:line="181" w:lineRule="exact"/>
        <w:rPr>
          <w:rFonts w:ascii="Arial" w:cs="Arial" w:eastAsia="Arial" w:hAnsi="Arial"/>
          <w:sz w:val="18"/>
          <w:szCs w:val="18"/>
          <w:color w:val="auto"/>
        </w:rPr>
      </w:pPr>
    </w:p>
    <w:p>
      <w:pPr>
        <w:ind w:left="780" w:hanging="33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No Cumulative Voting</w:t>
      </w:r>
      <w:r>
        <w:rPr>
          <w:rFonts w:ascii="Arial" w:cs="Arial" w:eastAsia="Arial" w:hAnsi="Arial"/>
          <w:sz w:val="18"/>
          <w:szCs w:val="18"/>
          <w:color w:val="auto"/>
        </w:rPr>
        <w:t>. No stockholder will be permitted to cumulate votes at any election of directors.</w:t>
      </w:r>
    </w:p>
    <w:p>
      <w:pPr>
        <w:spacing w:after="0" w:line="225" w:lineRule="exact"/>
        <w:rPr>
          <w:rFonts w:ascii="Arial" w:cs="Arial" w:eastAsia="Arial" w:hAnsi="Arial"/>
          <w:sz w:val="18"/>
          <w:szCs w:val="18"/>
          <w:color w:val="auto"/>
        </w:rPr>
      </w:pPr>
    </w:p>
    <w:p>
      <w:pPr>
        <w:ind w:firstLine="444"/>
        <w:spacing w:after="0" w:line="277" w:lineRule="auto"/>
        <w:tabs>
          <w:tab w:leader="none" w:pos="751"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No Reliance on the Controlled Company Exemption</w:t>
      </w:r>
      <w:r>
        <w:rPr>
          <w:rFonts w:ascii="Arial" w:cs="Arial" w:eastAsia="Arial" w:hAnsi="Arial"/>
          <w:sz w:val="18"/>
          <w:szCs w:val="18"/>
          <w:color w:val="auto"/>
        </w:rPr>
        <w:t>. At any time during which shares of capital stock of the Corporation are listed for trading on the Securities Exchange, the Corporation shall not rely upon the Controlled Company Exemption.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VIII</w:t>
      </w:r>
    </w:p>
    <w:p>
      <w:pPr>
        <w:spacing w:after="0" w:line="229"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To the fullest extent permitted by the DGCL, as it presently exists or may hereafter be amended from time to time, a director of the Corporation shall not be personally liable to the Corporation or its stockholders for monetary damages for breach of any fiduciary duties as a director. If the DGCL is amended to authorize corporate action further eliminating or limiting the personal liability of directors, then the liability of a director of the Corporation shall be eliminated or limited to the fullest extent permitted by the DGCL, as so amended.</w:t>
      </w:r>
    </w:p>
    <w:p>
      <w:pPr>
        <w:spacing w:after="0" w:line="187"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Neither any amendment nor repeal of this Article VIII, nor the adoption of any provision of the Corporation’s certificate of incorporation inconsistent with this Article VIII, shall eliminate or reduce the effect of this Article VIII in respect of any matter occurring, or any cause of action, suit or proceeding accruing or arising or that, but for this Article VIII, would accrue or arise, prior to such amendment, repeal or adoption of an inconsistent provision.</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29" w:lineRule="exact"/>
        <w:rPr>
          <w:sz w:val="20"/>
          <w:szCs w:val="20"/>
          <w:color w:val="auto"/>
        </w:rPr>
      </w:pPr>
    </w:p>
    <w:p>
      <w:pPr>
        <w:ind w:right="120" w:firstLine="441"/>
        <w:spacing w:after="0" w:line="271" w:lineRule="auto"/>
        <w:rPr>
          <w:sz w:val="20"/>
          <w:szCs w:val="20"/>
          <w:color w:val="auto"/>
        </w:rPr>
      </w:pPr>
      <w:r>
        <w:rPr>
          <w:rFonts w:ascii="Arial" w:cs="Arial" w:eastAsia="Arial" w:hAnsi="Arial"/>
          <w:sz w:val="17"/>
          <w:szCs w:val="17"/>
          <w:color w:val="auto"/>
        </w:rPr>
        <w:t>The Corporation shall indemnify, to the fullest extent permitted by applicable law, any director of the Corporation or any person designated as an executive officer of the Corporation by the Board of Directors who was or is a party or is threatened to be made a party to any threatened, pending or completed action, suit or proceeding, whether civil, criminal, administrative or investigative (a “</w:t>
      </w:r>
      <w:r>
        <w:rPr>
          <w:rFonts w:ascii="Arial" w:cs="Arial" w:eastAsia="Arial" w:hAnsi="Arial"/>
          <w:sz w:val="17"/>
          <w:szCs w:val="17"/>
          <w:b w:val="1"/>
          <w:bCs w:val="1"/>
          <w:color w:val="auto"/>
        </w:rPr>
        <w:t>Proceeding</w:t>
      </w:r>
      <w:r>
        <w:rPr>
          <w:rFonts w:ascii="Arial" w:cs="Arial" w:eastAsia="Arial" w:hAnsi="Arial"/>
          <w:sz w:val="17"/>
          <w:szCs w:val="17"/>
          <w:color w:val="auto"/>
        </w:rPr>
        <w:t>”)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Corporation shall be required to indemnify a person in connection with a Proceeding (or part thereof) initiated by such person only if the Proceeding (or part thereof) was authorized by the Board of Directors.</w:t>
      </w:r>
    </w:p>
    <w:p>
      <w:pPr>
        <w:spacing w:after="0" w:line="179"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The Corporation shall have the power to indemnify, to the extent permitted by the DGCL, as it presently exists or may hereafter be amended from time to time, any employee or agent of the Corporation who was or is a party or is threatened to be made a party to any Proceeding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93" w:lineRule="exact"/>
        <w:rPr>
          <w:sz w:val="20"/>
          <w:szCs w:val="20"/>
          <w:color w:val="auto"/>
        </w:rPr>
      </w:pPr>
    </w:p>
    <w:p>
      <w:pPr>
        <w:ind w:right="80" w:firstLine="441"/>
        <w:spacing w:after="0" w:line="276" w:lineRule="auto"/>
        <w:rPr>
          <w:sz w:val="20"/>
          <w:szCs w:val="20"/>
          <w:color w:val="auto"/>
        </w:rPr>
      </w:pPr>
      <w:r>
        <w:rPr>
          <w:rFonts w:ascii="Arial" w:cs="Arial" w:eastAsia="Arial" w:hAnsi="Arial"/>
          <w:sz w:val="17"/>
          <w:szCs w:val="17"/>
          <w:color w:val="auto"/>
        </w:rPr>
        <w:t>A right to indemnification or to advancement of expenses arising under a provision of this Amended and Restated Certificate of Incorporation or the Bylaws of the Corporation shall not be eliminated or impaired by an amendment to this Amended and Restated Certificate of Incorporation or the Bylaws of the Corporation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w:t>
      </w:r>
    </w:p>
    <w:p>
      <w:pPr>
        <w:spacing w:after="0" w:line="229" w:lineRule="exact"/>
        <w:rPr>
          <w:sz w:val="20"/>
          <w:szCs w:val="20"/>
          <w:color w:val="auto"/>
        </w:rPr>
      </w:pPr>
    </w:p>
    <w:p>
      <w:pPr>
        <w:jc w:val="both"/>
        <w:ind w:right="40" w:firstLine="441"/>
        <w:spacing w:after="0" w:line="286" w:lineRule="auto"/>
        <w:rPr>
          <w:sz w:val="20"/>
          <w:szCs w:val="20"/>
          <w:color w:val="auto"/>
        </w:rPr>
      </w:pPr>
      <w:r>
        <w:rPr>
          <w:rFonts w:ascii="Arial" w:cs="Arial" w:eastAsia="Arial" w:hAnsi="Arial"/>
          <w:sz w:val="17"/>
          <w:szCs w:val="17"/>
          <w:color w:val="auto"/>
        </w:rPr>
        <w:t>Unless the Corporation consents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shall be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13" w:name="page14"/>
    <w:bookmarkEnd w:id="13"/>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sole and exclusive forum for the following types of actions or proceedings under Delaware statutory or common law: (A) any derivative action or proceeding brought on behalf of the Corporation; (B) any action asserting a breach of a fiduciary duty owed by any director, officer or other employee of the Corporation to the Corporation or the Corporation’s stockholders; (C) any action asserting a claim against the Corporation or any director or officer or other employee of the Corporation arising pursuant to any provision of the DGCL, this Amended and Restated Certificate of Incorporation or the Bylaws of the Corporation; (D) any action or proceeding to interpret, apply, enforce or determine the validity of this Amended and Restated Certificate of Incorporation or the Bylaws of the Corporation (including any right, obligation, or remedy thereunder); (E) any action or proceeding as to which the DGCL confers jurisdiction to the Court of Chancery of the State of Delaware; or (F) any action asserting a claim against the Corporation or any director or officer or other employee of the Corporation that is governed by the internal affairs doctrine, in all cases to the fullest extent permitted by law and subject to the court’s having personal jurisdiction over the indispensable parties named as defendants. This Article X shall not apply to suits brought to enforce a duty or liability created by the Exchange Act or any other claim for which the federal courts have exclusive jurisdiction.</w:t>
      </w:r>
    </w:p>
    <w:p>
      <w:pPr>
        <w:spacing w:after="0" w:line="169"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To the fullest extent permitted by law, unless the Corporation consents in writing to the selection of an alternative forum, the federal district courts of the United States of America shall be the exclusive forum for the resolution of any complaint asserting a cause of action arising under the Securities Act of 1933, as amended, subject to and contingent upon a final adjudication in the State of Delaware of the enforceability of such exclusive forum provision.</w:t>
      </w:r>
    </w:p>
    <w:p>
      <w:pPr>
        <w:spacing w:after="0" w:line="187"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Any person or entity purchasing or otherwise acquiring any interest in shares of capital stock of the Corporation shall be deemed to have notice of and to have consented to the provisions of this Article X.</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9" w:lineRule="exact"/>
        <w:rPr>
          <w:sz w:val="20"/>
          <w:szCs w:val="20"/>
          <w:color w:val="auto"/>
        </w:rPr>
      </w:pPr>
    </w:p>
    <w:p>
      <w:pPr>
        <w:ind w:right="180" w:firstLine="441"/>
        <w:spacing w:after="0" w:line="293" w:lineRule="auto"/>
        <w:rPr>
          <w:sz w:val="20"/>
          <w:szCs w:val="20"/>
          <w:color w:val="auto"/>
        </w:rPr>
      </w:pPr>
      <w:r>
        <w:rPr>
          <w:rFonts w:ascii="Arial" w:cs="Arial" w:eastAsia="Arial" w:hAnsi="Arial"/>
          <w:sz w:val="16"/>
          <w:szCs w:val="16"/>
          <w:color w:val="auto"/>
        </w:rPr>
        <w:t>If any provision of this Amended and Restated Certificate of Incorporation becomes or is declared on any ground by a court of competent jurisdiction to be illegal, unenforceable or void, portions of such provision, or such provision in its entirety, to the extent necessary, shall be severed from this Amended and Restated Certificate of Incorporation, and the court will replace such illegal, void or unenforceable provision of this Amended and Restated Certificate of Incorporation with a valid and enforceable provision that most accurately reflects the Corporation’s intent, in order to achieve, to the maximum extent possible, the same economic, business and other purposes of the illegal, void or unenforceable provision. The balance of this Amended and Restated Certificate of Incorporation shall be enforceable in accordance with its terms.</w:t>
      </w:r>
    </w:p>
    <w:p>
      <w:pPr>
        <w:spacing w:after="0" w:line="165" w:lineRule="exact"/>
        <w:rPr>
          <w:sz w:val="20"/>
          <w:szCs w:val="20"/>
          <w:color w:val="auto"/>
        </w:rPr>
      </w:pPr>
    </w:p>
    <w:p>
      <w:pPr>
        <w:ind w:right="60" w:firstLine="441"/>
        <w:spacing w:after="0" w:line="290" w:lineRule="auto"/>
        <w:rPr>
          <w:sz w:val="20"/>
          <w:szCs w:val="20"/>
          <w:color w:val="auto"/>
        </w:rPr>
      </w:pPr>
      <w:r>
        <w:rPr>
          <w:rFonts w:ascii="Arial" w:cs="Arial" w:eastAsia="Arial" w:hAnsi="Arial"/>
          <w:sz w:val="16"/>
          <w:szCs w:val="16"/>
          <w:color w:val="auto"/>
        </w:rPr>
        <w:t>Except as provided in Article VIII and Article IX above, the Corporation reserves the right to amend, alter, change or repeal any provision contained in this Amended and Restated Certificate of Incorporation, in the manner now or hereafter prescribed by statute, and all rights conferred upon stockholders herein are granted subject to this reservation; provided that, notwithstanding any other provision of this Amended and Restated Certificate of Incorporation or any provision of law that might otherwise permit a lesser vote or no vote, but in addition to any vote of the holders of any class or series of the stock of this Corporation required by law or by this Amended and Restated Certificate of Incorporation, the affirmative vote of the holders of at least sixty-six and two-thirds percent (66-2/3%) of the voting power of the outstanding shares of stock of the Corporation entitled to vote generally in the election of directors, voting together as a single class, shall be required to amend or repeal, or adopt any provision of this Amended and Restated Certificate of Incorporation inconsistent with, Article VI, Article VII, Article VIII, Article IX, Article X or this Article XI.</w:t>
      </w:r>
    </w:p>
    <w:p>
      <w:pPr>
        <w:spacing w:after="0" w:line="166" w:lineRule="exact"/>
        <w:rPr>
          <w:sz w:val="20"/>
          <w:szCs w:val="20"/>
          <w:color w:val="auto"/>
        </w:rPr>
      </w:pPr>
    </w:p>
    <w:p>
      <w:pPr>
        <w:jc w:val="center"/>
        <w:spacing w:after="0"/>
        <w:tabs>
          <w:tab w:leader="none" w:pos="160" w:val="left"/>
          <w:tab w:leader="none" w:pos="160" w:val="left"/>
        </w:tabs>
        <w:rPr>
          <w:sz w:val="20"/>
          <w:szCs w:val="20"/>
          <w:color w:val="auto"/>
        </w:rPr>
      </w:pPr>
      <w:r>
        <w:rPr>
          <w:rFonts w:ascii="Arial" w:cs="Arial" w:eastAsia="Arial" w:hAnsi="Arial"/>
          <w:sz w:val="18"/>
          <w:szCs w:val="18"/>
          <w:color w:val="auto"/>
        </w:rPr>
        <w:t>*</w:t>
        <w:tab/>
        <w:t>*</w:t>
        <w:tab/>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14" w:name="page15"/>
    <w:bookmarkEnd w:id="14"/>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Amended and Restated Certificate of Incorporation has been signed on behalf of the Corporation by its duly authorized officer effective this 23</w:t>
      </w:r>
      <w:r>
        <w:rPr>
          <w:rFonts w:ascii="Arial" w:cs="Arial" w:eastAsia="Arial" w:hAnsi="Arial"/>
          <w:sz w:val="15"/>
          <w:szCs w:val="15"/>
          <w:color w:val="auto"/>
        </w:rPr>
        <w:t>rd</w:t>
      </w:r>
      <w:r>
        <w:rPr>
          <w:rFonts w:ascii="Arial" w:cs="Arial" w:eastAsia="Arial" w:hAnsi="Arial"/>
          <w:sz w:val="18"/>
          <w:szCs w:val="18"/>
          <w:color w:val="auto"/>
        </w:rPr>
        <w:t xml:space="preserve"> day of April, 2019.</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ZOOM VIDEO COMMUNICATIONS,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Eric S. Yuan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 and Chief Executive Officer</w:t>
      </w:r>
    </w:p>
    <w:p>
      <w:pPr>
        <w:spacing w:after="0" w:line="15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12</w:t>
      </w:r>
    </w:p>
    <w:sectPr>
      <w:pgSz w:w="11900" w:h="16838" w:orient="portrait"/>
      <w:cols w:equalWidth="0" w:num="1">
        <w:col w:w="10540"/>
      </w:cols>
      <w:pgMar w:left="440" w:top="274"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upperLetter"/>
      <w:start w:val="1"/>
    </w:lvl>
  </w:abstractNum>
  <w:abstractNum w:abstractNumId="3">
    <w:nsid w:val="1F16E9E8"/>
    <w:multiLevelType w:val="hybridMultilevel"/>
    <w:lvl w:ilvl="0">
      <w:lvlJc w:val="left"/>
      <w:lvlText w:val="%1."/>
      <w:numFmt w:val="upperLetter"/>
      <w:start w:val="1"/>
    </w:lvl>
  </w:abstractNum>
  <w:abstractNum w:abstractNumId="4">
    <w:nsid w:val="1190CDE7"/>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5">
    <w:nsid w:val="66EF438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
    <w:nsid w:val="140E0F7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
    <w:nsid w:val="3352255A"/>
    <w:multiLevelType w:val="hybridMultilevel"/>
    <w:lvl w:ilvl="0">
      <w:lvlJc w:val="left"/>
      <w:lvlText w:val="%1"/>
      <w:numFmt w:val="upperLetter"/>
      <w:start w:val="1"/>
    </w:lvl>
    <w:lvl w:ilvl="1">
      <w:lvlJc w:val="left"/>
      <w:lvlText w:val="(%2)"/>
      <w:numFmt w:val="lowerLetter"/>
      <w:start w:val="4"/>
    </w:lvl>
  </w:abstractNum>
  <w:abstractNum w:abstractNumId="8">
    <w:nsid w:val="109CF92E"/>
    <w:multiLevelType w:val="hybridMultilevel"/>
    <w:lvl w:ilvl="0">
      <w:lvlJc w:val="left"/>
      <w:lvlText w:val="%1."/>
      <w:numFmt w:val="upperLetter"/>
      <w:start w:val="5"/>
    </w:lvl>
    <w:lvl w:ilvl="1">
      <w:lvlJc w:val="left"/>
      <w:lvlText w:val="%2"/>
      <w:numFmt w:val="lowerLetter"/>
      <w:start w:val="1"/>
    </w:lvl>
  </w:abstractNum>
  <w:abstractNum w:abstractNumId="9">
    <w:nsid w:val="DED7263"/>
    <w:multiLevelType w:val="hybridMultilevel"/>
    <w:lvl w:ilvl="0">
      <w:lvlJc w:val="left"/>
      <w:lvlText w:val="(%1)"/>
      <w:numFmt w:val="lowerRoman"/>
      <w:start w:val="3"/>
    </w:lvl>
  </w:abstractNum>
  <w:abstractNum w:abstractNumId="10">
    <w:nsid w:val="7FDCC233"/>
    <w:multiLevelType w:val="hybridMultilevel"/>
    <w:lvl w:ilvl="0">
      <w:lvlJc w:val="left"/>
      <w:lvlText w:val="(%1)"/>
      <w:numFmt w:val="lowerRoman"/>
      <w:start w:val="7"/>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Roman"/>
      <w:start w:val="2"/>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3"/>
    </w:lvl>
  </w:abstractNum>
  <w:abstractNum w:abstractNumId="15">
    <w:nsid w:val="25E45D32"/>
    <w:multiLevelType w:val="hybridMultilevel"/>
    <w:lvl w:ilvl="0">
      <w:lvlJc w:val="left"/>
      <w:lvlText w:val="%1."/>
      <w:numFmt w:val="upperLetter"/>
      <w:start w:val="1"/>
    </w:lvl>
  </w:abstractNum>
  <w:abstractNum w:abstractNumId="16">
    <w:nsid w:val="519B500D"/>
    <w:multiLevelType w:val="hybridMultilevel"/>
    <w:lvl w:ilvl="0">
      <w:lvlJc w:val="left"/>
      <w:lvlText w:val="%1."/>
      <w:numFmt w:val="upperLetter"/>
      <w:start w:val="4"/>
    </w:lvl>
  </w:abstractNum>
  <w:abstractNum w:abstractNumId="17">
    <w:nsid w:val="431BD7B7"/>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18" Type="http://schemas.openxmlformats.org/officeDocument/2006/relationships/hyperlink" Target="http://www.sec.gov/Archives/edgar/data/1585521/000119312519099813/d642624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2019-12-28T13:56:51Z</dcterms:created>
  <dcterms:modified xsi:type="dcterms:W3CDTF">2019-12-28T13:56:51Z</dcterms:modified>
</cp:coreProperties>
</file>