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February 25,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Zoom Communications,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rFonts w:ascii="Times New Roman;serif" w:hAnsi="Times New Roman;serif"/>
          <w:b/>
          <w:color w:val="000000"/>
          <w:sz w:val="22"/>
        </w:rPr>
      </w:pPr>
      <w:r>
        <w:rPr>
          <w:rFonts w:ascii="Times New Roman;serif" w:hAnsi="Times New Roman;serif"/>
          <w:b/>
          <w:color w:val="000000"/>
          <w:sz w:val="22"/>
        </w:rPr>
        <w:t>55 Almaden Boulevard, 6th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Jose, California 95113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(888) 799-9666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25, 2026, Zoom Communications, Inc. (the “Company”) issued a press release announcing its financial results for the three months and the fiscal year ended January 31, 2026.  A copy of the press release is furnished as Exhibit 99.1 to this report and is incorporated by reference.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zm-20260225ex991.htm">
              <w:r>
                <w:rPr>
                  <w:rStyle w:val="InternetLink"/>
                  <w:rFonts w:ascii="Times New Roman;serif" w:hAnsi="Times New Roman;serif"/>
                  <w:b w:val="false"/>
                  <w:color w:val="000080"/>
                  <w:sz w:val="20"/>
                  <w:u w:val="single"/>
                </w:rPr>
                <w:t>Press release dated February 2</w:t>
              </w:r>
            </w:hyperlink>
            <w:hyperlink w:anchor="zm-20260225ex991.htm">
              <w:r>
                <w:rPr>
                  <w:rStyle w:val="InternetLink"/>
                  <w:rFonts w:ascii="Times New Roman;serif" w:hAnsi="Times New Roman;serif"/>
                  <w:b w:val="false"/>
                  <w:color w:val="000080"/>
                  <w:sz w:val="20"/>
                  <w:u w:val="single"/>
                </w:rPr>
                <w:t>5</w:t>
              </w:r>
            </w:hyperlink>
            <w:hyperlink w:anchor="zm-20260225ex991.htm">
              <w:r>
                <w:rPr>
                  <w:rStyle w:val="InternetLink"/>
                  <w:rFonts w:ascii="Times New Roman;serif" w:hAnsi="Times New Roman;serif"/>
                  <w:b w:val="false"/>
                  <w:color w:val="000080"/>
                  <w:sz w:val="20"/>
                  <w:u w:val="single"/>
                </w:rPr>
                <w:t>, 202</w:t>
              </w:r>
            </w:hyperlink>
            <w:hyperlink w:anchor="zm-20260225ex991.htm">
              <w:r>
                <w:rPr>
                  <w:rStyle w:val="InternetLink"/>
                  <w:rFonts w:ascii="Times New Roman;serif" w:hAnsi="Times New Roman;serif"/>
                  <w:b w:val="false"/>
                  <w:color w:val="000080"/>
                  <w:sz w:val="20"/>
                  <w:u w:val="single"/>
                </w:rPr>
                <w:t>6</w:t>
              </w:r>
            </w:hyperlink>
            <w:hyperlink w:anchor="zm-20260225ex991.htm">
              <w:r>
                <w:rPr>
                  <w:rStyle w:val="InternetLink"/>
                  <w:rFonts w:ascii="Times New Roman;serif" w:hAnsi="Times New Roman;serif"/>
                  <w:b w:val="false"/>
                  <w:color w:val="000080"/>
                  <w:sz w:val="20"/>
                  <w:u w:val="single"/>
                </w:rPr>
                <w:t xml:space="preserve"> of Zoom Communications, Inc.</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450" w:type="dxa"/>
        <w:jc w:val="left"/>
        <w:tblInd w:w="0" w:type="dxa"/>
        <w:tblLayout w:type="fixed"/>
        <w:tblCellMar>
          <w:top w:w="28" w:type="dxa"/>
          <w:left w:w="28" w:type="dxa"/>
          <w:bottom w:w="28" w:type="dxa"/>
          <w:right w:w="28" w:type="dxa"/>
        </w:tblCellMar>
      </w:tblPr>
      <w:tblGrid>
        <w:gridCol w:w="792"/>
        <w:gridCol w:w="696"/>
        <w:gridCol w:w="702"/>
        <w:gridCol w:w="397"/>
        <w:gridCol w:w="397"/>
        <w:gridCol w:w="397"/>
        <w:gridCol w:w="605"/>
        <w:gridCol w:w="605"/>
        <w:gridCol w:w="859"/>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February 25,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Zoom Communications Reports Fourth Quarter and Fiscal Year 2026 Financial Results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Fourth quarter total revenue of $1,247.0 million, up 5.3% year over year as reported and 4.8% in constant currency; full fiscal year total revenue of $4,868.8 million, up 4.4% year over year as reported and 4.2% in constant currency</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Fourth quarter Enterprise revenue of $757.3 million, up 7.1% year over year; full fiscal year Enterprise revenue of $2,934.1 million, up 6.5% year over year</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Number of customers contributing more than $100,000 in trailing 12 months revenue up 9.3% year over year</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Fourth quarter GAAP operating margin of 20.0%, up 100 bps year over year, and non-GAAP operating margin of 39.3%, down 20 bps year over year; full fiscal year GAAP operating margin of 23.1%, up 570 bps year over year, and non-GAAP operating margin of 40.4%, up 100 bps year over year</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Fourth quarter GAAP EPS was $2.22, up 91.4% year over year, and non-GAAP EPS was $1.44, up 2.1% year over year; full fiscal year GAAP EPS was $6.18, up 92.5% year over year, and non-GAAP EPS was $5.92, up 6.9%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Repurchased approximately 3.8 million shares of common stock in fourth quarter and approximately 20.4 million shares of common stock during full fiscal year</w:t>
      </w:r>
    </w:p>
    <w:p>
      <w:pPr>
        <w:pStyle w:val="TextBody"/>
        <w:bidi w:val="0"/>
        <w:spacing w:lineRule="auto" w:line="288" w:before="240" w:after="283"/>
        <w:jc w:val="left"/>
        <w:rPr/>
      </w:pPr>
      <w:r>
        <w:rPr>
          <w:rFonts w:ascii="Times New Roman;serif" w:hAnsi="Times New Roman;serif"/>
          <w:b/>
          <w:color w:val="000000"/>
          <w:sz w:val="20"/>
        </w:rPr>
        <w:t>San Jose, California – </w:t>
      </w:r>
      <w:r>
        <w:rPr>
          <w:rFonts w:ascii="Times New Roman;serif" w:hAnsi="Times New Roman;serif"/>
          <w:b w:val="false"/>
          <w:color w:val="000000"/>
          <w:sz w:val="20"/>
        </w:rPr>
        <w:t>February 25, 2026 – Zoom Communications, Inc. (NASDAQ: ZM), a system of action for modern work, today announced financial results for the fourth quarter and fiscal year ended January 31, 2026.</w:t>
      </w:r>
    </w:p>
    <w:p>
      <w:pPr>
        <w:pStyle w:val="TextBody"/>
        <w:bidi w:val="0"/>
        <w:spacing w:lineRule="auto" w:line="268" w:before="120" w:after="283"/>
        <w:jc w:val="left"/>
        <w:rPr>
          <w:color w:val="000000"/>
        </w:rPr>
      </w:pPr>
      <w:r>
        <w:rPr>
          <w:color w:val="000000"/>
        </w:rPr>
        <w:t>“</w:t>
      </w:r>
      <w:r>
        <w:rPr>
          <w:rFonts w:ascii="Times New Roman;serif" w:hAnsi="Times New Roman;serif"/>
          <w:b w:val="false"/>
          <w:color w:val="000000"/>
          <w:sz w:val="20"/>
        </w:rPr>
        <w:t>In FY26, revenue growth accelerated 130 basis points to 4.4%, reflecting the growing adoption of Zoom as a system of action for modern work,” said Eric S. Yuan, Zoom’s founder and CEO. “As work increasingly starts in conversations, customers are choosing Zoom to turn those conversations into completed workflows across customer-facing and internal use cases. In Q4, we saw accelerating, high-double-digit growth in Zoom Customer Experience, with paid AI included in each of our top 10 CX deals, underscoring the value of live context and automated follow-through. As we enter FY27, we expect to surpass the $5 billion revenue milestone and remain focused on delivering durable, profitable growth and long-term shareholder returns.”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Fourth Quarter Fiscal Year 2026 Financial Highlights: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for the fourth quarter was $1,247.0 million, up 5.3% year over year. After adjusting for foreign currency impact, revenue in constant currency was $1,241.2 million, up 4.8% year over year. Enterprise revenue was $757.3 million, up 7.1% year over year, and Online revenue was $489.7 million, up 2.6%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Income from Operations and Operating Margin:</w:t>
      </w:r>
      <w:r>
        <w:rPr>
          <w:color w:val="000000"/>
        </w:rPr>
        <w:t xml:space="preserve"> </w:t>
      </w:r>
      <w:r>
        <w:rPr>
          <w:rFonts w:ascii="Times New Roman;serif" w:hAnsi="Times New Roman;serif"/>
          <w:b w:val="false"/>
          <w:color w:val="000000"/>
          <w:sz w:val="20"/>
        </w:rPr>
        <w:t>GAAP income from operations for the fourth quarter was $249.9 million, compared to GAAP income from operations of $225.1 million in the fourth quarter of fiscal year 2025. Non-GAAP income from operations, which adjusts for stock-based compensation expense and related payroll taxes, expenses related to charitable donation of common stock, impairment of assets, and acquisition-related expenses, was $489.7 million for the fourth quarter, compared to non-GAAP income from operations of $468.0 million in the fourth quarter of fiscal year 2025. For the fourth quarter, GAAP and non-GAAP operating margin was 20.0% and 39.3%, respectively, compared to 19.0% and 39.5%, respectively, in the fourth quarter of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Net Income and Diluted Net Income Per Share:</w:t>
      </w:r>
      <w:r>
        <w:rPr>
          <w:color w:val="000000"/>
        </w:rPr>
        <w:t xml:space="preserve"> </w:t>
      </w:r>
      <w:r>
        <w:rPr>
          <w:rFonts w:ascii="Times New Roman;serif" w:hAnsi="Times New Roman;serif"/>
          <w:b w:val="false"/>
          <w:color w:val="000000"/>
          <w:sz w:val="20"/>
        </w:rPr>
        <w:t>GAAP net income for the fourth quarter was $674.1 million, or $2.22 per share, compared to GAAP net income of $367.9 million, or $1.16 per share in the fourth quarter of fiscal year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which adjusts for stock-based compensation expense and related payroll taxes, expenses related to charitable donation of common stock, impairment of assets, gains on strategic investments, net, acquisition-related expenses, income tax benefits from discrete activities, and the tax effects on non-GAAP adjustments, was $437.1 million for the fourth quarter. Non-GAAP net income per share was $1.44 in the fourth quarter. In the fourth quarter of fiscal year 2025, non-GAAP net income was $446.9 million, or $1.41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Cash and Marketable Securities: </w:t>
      </w:r>
      <w:r>
        <w:rPr>
          <w:rFonts w:ascii="Times New Roman;serif" w:hAnsi="Times New Roman;serif"/>
          <w:b w:val="false"/>
          <w:color w:val="000000"/>
          <w:sz w:val="20"/>
        </w:rPr>
        <w:t>Total cash, cash equivalents, and marketable securities, excluding restricted cash, as of January 31, 2026 was $7.8 billion.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Cash Flow:</w:t>
      </w:r>
      <w:r>
        <w:rPr>
          <w:color w:val="000000"/>
        </w:rPr>
        <w:t xml:space="preserve"> </w:t>
      </w:r>
      <w:r>
        <w:rPr>
          <w:rFonts w:ascii="Times New Roman;serif" w:hAnsi="Times New Roman;serif"/>
          <w:b w:val="false"/>
          <w:color w:val="000000"/>
          <w:sz w:val="20"/>
        </w:rPr>
        <w:t>Net cash provided by operating activities was $354.5 million for the fourth quarter, compared to $424.6 million in the fourth quarter of fiscal year 2025. Free cash flow, which is net cash provided by operating activities less purchases of property and equipment, was $338.4 million in the fourth quarter, compared to $416.2 million in the fourth quarter of fiscal year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Full Fiscal Year 2026 Financial Highlights: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for the fiscal year was $4,868.8 million, up 4.4% year over year. After adjusting for foreign currency impact, revenue in constant currency was $4,861.7 million, up 4.2% year over year. Enterprise revenue was $2,934.1 million, up 6.5% year over year, and Online revenue was $1,934.7 million, up 1.2%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Income from Operations and Operating Margin:</w:t>
      </w:r>
      <w:r>
        <w:rPr>
          <w:color w:val="000000"/>
        </w:rPr>
        <w:t xml:space="preserve"> </w:t>
      </w:r>
      <w:r>
        <w:rPr>
          <w:rFonts w:ascii="Times New Roman;serif" w:hAnsi="Times New Roman;serif"/>
          <w:b w:val="false"/>
          <w:color w:val="000000"/>
          <w:sz w:val="20"/>
        </w:rPr>
        <w:t>GAAP income from operations for the fiscal year was $1,123.6 million, compared to GAAP income from operations of $813.3 million for fiscal year 2025. Non-GAAP income from operations, which adjusts for stock-based compensation expense and related payroll taxes, expenses related to charitable donation of common stock, impairment of assets, litigation settlements, net, and acquisition-related expenses, was $1,967.2 million for the fiscal year, compared to non-GAAP income from operations of $1,837.9 million for fiscal year 2025. For the fiscal year, GAAP and non-GAAP operating margin was 23.1% and 40.4% respectively, up from 17.4% and 39.4%, respectively, in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Net Income and Diluted Net Income Per Share:</w:t>
      </w:r>
      <w:r>
        <w:rPr>
          <w:color w:val="000000"/>
        </w:rPr>
        <w:t xml:space="preserve"> </w:t>
      </w:r>
      <w:r>
        <w:rPr>
          <w:rFonts w:ascii="Times New Roman;serif" w:hAnsi="Times New Roman;serif"/>
          <w:b w:val="false"/>
          <w:color w:val="000000"/>
          <w:sz w:val="20"/>
        </w:rPr>
        <w:t>GAAP net income for the fiscal year was $1,900.1 million, or $6.18 per share, compared to GAAP net income of $1,010.2 million, or $3.21 per share for fiscal year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which adjusts for stock-based compensation expense and related payroll taxes, expenses related to charitable donation of common stock, impairment of assets, litigation settlements, net, gains on strategic investments, net, acquisition-related expenses, income tax benefits from discrete activities, and the tax effects on non-GAAP adjustments, was $1,819.6 million for the fiscal year. Non-GAAP net income per share was $5.92. In fiscal year 2025, non-GAAP net income was $1,744.8 million, or $5.54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Cash Flow:</w:t>
      </w:r>
      <w:r>
        <w:rPr>
          <w:color w:val="000000"/>
        </w:rPr>
        <w:t xml:space="preserve"> </w:t>
      </w:r>
      <w:r>
        <w:rPr>
          <w:rFonts w:ascii="Times New Roman;serif" w:hAnsi="Times New Roman;serif"/>
          <w:b w:val="false"/>
          <w:color w:val="000000"/>
          <w:sz w:val="20"/>
        </w:rPr>
        <w:t>Net cash provided by operating activities was $1,989.0 million for the fiscal year, compared to $1,945.3 million for fiscal year 2025, up 2.2% year over year. Free cash flow, which is net cash provided by operating activities less purchases of property and equipment, was $1,924.1 million, compared to $1,808.7 million for fiscal year 2025, up 6.4% year over year.</w:t>
      </w:r>
    </w:p>
    <w:p>
      <w:pPr>
        <w:pStyle w:val="TextBody"/>
        <w:bidi w:val="0"/>
        <w:spacing w:lineRule="auto" w:line="288" w:before="240" w:after="283"/>
        <w:jc w:val="left"/>
        <w:rPr/>
      </w:pPr>
      <w:r>
        <w:rPr>
          <w:rFonts w:ascii="Times New Roman;serif" w:hAnsi="Times New Roman;serif"/>
          <w:b/>
          <w:color w:val="000000"/>
          <w:sz w:val="20"/>
        </w:rPr>
        <w:t>Customer Metrics:</w:t>
      </w:r>
      <w:r>
        <w:rPr>
          <w:color w:val="000000"/>
        </w:rPr>
        <w:t> </w:t>
      </w:r>
      <w:r>
        <w:rPr>
          <w:rFonts w:ascii="Times New Roman;serif" w:hAnsi="Times New Roman;serif"/>
          <w:b w:val="false"/>
          <w:color w:val="000000"/>
          <w:sz w:val="20"/>
        </w:rPr>
        <w:t>Drivers of revenue included acquiring new customers. At the end of the fourth quarter of fiscal year 2026, Zoom had: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4,468 customers contributing more than $100,000 in trailing 12 months revenue, up approximately 9.3% from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trailing 12-month net dollar expansion rate for Enterprise customers of 98%.</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Online average monthly churn of 2.9% for the fourth quarter, compared to 2.8% for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At the end of the fourth quarter, the percentage of total Online MRR from Online customers with a continual term of service of at least 16 months was 74.9%, compared to 75.1% at the end of the same quarter last fiscal year.</w:t>
      </w:r>
    </w:p>
    <w:p>
      <w:pPr>
        <w:pStyle w:val="TextBody"/>
        <w:bidi w:val="0"/>
        <w:spacing w:lineRule="auto" w:line="288" w:before="240" w:after="283"/>
        <w:jc w:val="left"/>
        <w:rPr/>
      </w:pPr>
      <w:r>
        <w:rPr>
          <w:rFonts w:ascii="Times New Roman;serif" w:hAnsi="Times New Roman;serif"/>
          <w:b/>
          <w:color w:val="000000"/>
          <w:sz w:val="20"/>
        </w:rPr>
        <w:t>Financial Outlook:</w:t>
      </w:r>
      <w:r>
        <w:rPr>
          <w:color w:val="000000"/>
        </w:rPr>
        <w:t> </w:t>
      </w:r>
      <w:r>
        <w:rPr>
          <w:rFonts w:ascii="Times New Roman;serif" w:hAnsi="Times New Roman;serif"/>
          <w:b w:val="false"/>
          <w:color w:val="000000"/>
          <w:sz w:val="20"/>
        </w:rPr>
        <w:t>Zoom is providing the following guidance for its first quarter of fiscal year 2027 and its full fiscal year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First Quarter Fiscal Year 2027: Total revenue is expected to be between $1.220 billion and $1.225 billion and revenue in constant currency is expected to be between $1.212 billion and $1.217 billion. Non-GAAP income from operations is expected to be between $487.0 million and $492.0 million. First quarter non-GAAP diluted EPS is expected to be between $1.40 and $1.42 with approximately 304 million non-GAAP weighted average shares outstanding.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Full Fiscal Year 2027: Total revenue is expected to be between $5.065 billion and $5.075 billion and revenue in constant currency is expected to be between $5.054 billion and $5.064 billion. Non-GAAP income from operations is expected to be between $2.050 billion and $2.060 billion. Full fiscal year non-GAAP diluted EPS is expected to be between $5.77 and $5.81 with approximately 308 million non-GAAP weighted average shares outstanding. Full fiscal year free cash flow is expected to be between $1.700 billion and $1.740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EPS and share count figures do not include any impact from $1.0 billion of authorized share repurchase remaining as of January 31,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supplemental financial presentation and other information can be accessed through Zoom’s investor relations website at investors.zoom.us.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Zoom Video Earnings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will host a Zoom Video Webinar for investors on February 25, 2026 at 2:00 p.m. Pacific Time / 5:00 p.m. Eastern Time to discuss the company’s financial results, business highlights and financial outlook. Investors are invited to join the Zoom Video Webinar by visiting: https://investors.zoom.us/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Zoom</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Zoom (NASDAQ: ZM) is a system of action for modern work, turning live collaboration into completed results. From entrepreneurs to global enterprises, customers choose Zoom to seamlessly collaborate, communicate, and drive outcomes across meetings, phone, contact center, and more — all with the built-in assistance of Zoom AI Companion. Founded in 2011, Zoom is headquartered in San Jose, CA. For more information, visit zoom.com.</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express and implied “forward-looking statements” within the meaning of the Private Securities Litigation Reform Act of 1995, including statements regarding Zoom's financial outlook for the first quarter of fiscal year 2027 and full fiscal year 2027, Zoom’s market position, opportunities, and growth strategy, product initiatives, including future product and feature releases and the potential of agentic AI,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tariffs and trade tensions, inflationary pressures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2025.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and Non-GAAP Operating Margin. Zoom defines non-GAAP income from operations as income from operations excluding stock-based compensation expense and related payroll taxes, expenses related to charitable donation of common stock, impairment of assets, acquisition-related expenses, and litigation settlements, net. Zoom excludes stock-based compensation expense, expenses related to charitable donation of common stock, and impairment of assets, because they are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and Non-GAAP Net Income Per Share, Basic and Diluted. Zoom defines non-GAAP net income as GAAP net income adjusted to exclude stock-based compensation expense and related payroll taxes, expenses related to charitable donation of common stock, impairment of assets, acquisition-related expenses, gains on strategic investments, net, litigation settlements, net, income tax benefits from discrete activities,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Public Relations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Karen Modlin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 of Corporate Communications, Zoom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press@zoom.us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Charles Eveslage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 Zoom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investors@zoom.us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401" w:type="dxa"/>
        <w:jc w:val="center"/>
        <w:tblInd w:w="0" w:type="dxa"/>
        <w:tblLayout w:type="fixed"/>
        <w:tblCellMar>
          <w:top w:w="28" w:type="dxa"/>
          <w:left w:w="28" w:type="dxa"/>
          <w:bottom w:w="28" w:type="dxa"/>
          <w:right w:w="28" w:type="dxa"/>
        </w:tblCellMar>
      </w:tblPr>
      <w:tblGrid>
        <w:gridCol w:w="1405"/>
        <w:gridCol w:w="1239"/>
        <w:gridCol w:w="1256"/>
        <w:gridCol w:w="109"/>
        <w:gridCol w:w="109"/>
        <w:gridCol w:w="109"/>
        <w:gridCol w:w="211"/>
        <w:gridCol w:w="1081"/>
        <w:gridCol w:w="109"/>
        <w:gridCol w:w="109"/>
        <w:gridCol w:w="109"/>
        <w:gridCol w:w="109"/>
        <w:gridCol w:w="211"/>
        <w:gridCol w:w="1081"/>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10,988,421 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The amount of unbilled accounts receivable included within accounts receivable, net on the consolidated balance sheets was $84.9 million and $118.5 million as of January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50"/>
        <w:gridCol w:w="1059"/>
        <w:gridCol w:w="10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5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4,665,433 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296,454,680 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306,553,952 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307,981,971 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303,087,489 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316,693,346 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307,333,185 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315,069,582 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586"/>
        <w:gridCol w:w="1278"/>
        <w:gridCol w:w="1282"/>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58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 January 31,</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1,010,238 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Gains on strategic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(177,142)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accounts receivable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foreign exchange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Charitable 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discount/premium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(71,636)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(246,727)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1,945,308 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(1,471,638)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(919,938)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(4,622,104)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3,610,274 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(136,560)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(1,106,024)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repurchases of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(1,620,691)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(1,093,878)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for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employee equity transactions (remitted) to be remitted to employees and tax authorities,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paid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(353,911)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(1,805,358)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(1,028,077)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(203,963)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1,565,380 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1,361,417 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1,361,417 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381"/>
        <w:gridCol w:w="696"/>
        <w:gridCol w:w="698"/>
        <w:gridCol w:w="109"/>
        <w:gridCol w:w="109"/>
        <w:gridCol w:w="109"/>
        <w:gridCol w:w="211"/>
        <w:gridCol w:w="976"/>
        <w:gridCol w:w="271"/>
        <w:gridCol w:w="109"/>
        <w:gridCol w:w="109"/>
        <w:gridCol w:w="109"/>
        <w:gridCol w:w="253"/>
        <w:gridCol w:w="1016"/>
        <w:gridCol w:w="290"/>
        <w:gridCol w:w="109"/>
        <w:gridCol w:w="109"/>
        <w:gridCol w:w="109"/>
        <w:gridCol w:w="211"/>
        <w:gridCol w:w="1001"/>
        <w:gridCol w:w="271"/>
        <w:gridCol w:w="109"/>
        <w:gridCol w:w="109"/>
        <w:gridCol w:w="109"/>
        <w:gridCol w:w="222"/>
        <w:gridCol w:w="1061"/>
        <w:gridCol w:w="339"/>
      </w:tblGrid>
      <w:tr>
        <w:trPr/>
        <w:tc>
          <w:tcPr>
            <w:tcW w:w="138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813,295 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966,732 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1,837,895 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966,732 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(177,142)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 from discrete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446,946 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1,744,751 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 weighted-average shares used to compute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296,454,680 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306,553,952 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300,503,787 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307,981,971 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 weighted-average shares used to compute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303,087,489 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316,693,346 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307,333,185 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315,069,582 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424,566 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1,945,308 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416,232 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1,924,087 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1,808,748 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(278,898)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(1,106,024)</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(328,971)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(1,805,358)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(1,028,077)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 Revenue Growth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 Revenue Growth (%)</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Constant currency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constant currency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1,241,191 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4,861,678 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5021</Words>
  <Characters>29002</Characters>
  <CharactersWithSpaces>33568</CharactersWithSpaces>
  <Paragraphs>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