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tcPr>
          <w:p>
            <w:pPr>
              <w:jc w:val="right"/>
              <w:ind w:right="41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08/11/2020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5629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5629910"/>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jc w:val="right"/>
              <w:ind w:right="142"/>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3"/>
                <w:szCs w:val="13"/>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4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40" w:type="dxa"/>
            <w:vAlign w:val="bottom"/>
            <w:vMerge w:val="restart"/>
          </w:tcPr>
          <w:p>
            <w:pPr>
              <w:jc w:val="right"/>
              <w:ind w:right="184"/>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0000FF"/>
                <w:w w:val="89"/>
              </w:rPr>
              <w:t>177,286</w:t>
            </w:r>
          </w:p>
        </w:tc>
        <w:tc>
          <w:tcPr>
            <w:tcW w:w="54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177,286</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230.6228</w:t>
            </w:r>
            <w:r>
              <w:rPr>
                <w:rFonts w:ascii="Arial" w:cs="Arial" w:eastAsia="Arial" w:hAnsi="Arial"/>
                <w:sz w:val="20"/>
                <w:szCs w:val="20"/>
                <w:color w:val="008000"/>
                <w:w w:val="89"/>
                <w:vertAlign w:val="superscript"/>
              </w:rPr>
              <w:t>(2)</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174,986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10,865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231.5978</w:t>
            </w:r>
            <w:r>
              <w:rPr>
                <w:rFonts w:ascii="Arial" w:cs="Arial" w:eastAsia="Arial" w:hAnsi="Arial"/>
                <w:sz w:val="20"/>
                <w:szCs w:val="20"/>
                <w:color w:val="008000"/>
                <w:w w:val="89"/>
                <w:vertAlign w:val="superscript"/>
              </w:rPr>
              <w:t>(3)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164,121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6,101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232.4597</w:t>
            </w:r>
            <w:r>
              <w:rPr>
                <w:rFonts w:ascii="Arial" w:cs="Arial" w:eastAsia="Arial" w:hAnsi="Arial"/>
                <w:sz w:val="20"/>
                <w:szCs w:val="20"/>
                <w:color w:val="008000"/>
                <w:w w:val="89"/>
                <w:vertAlign w:val="superscript"/>
              </w:rPr>
              <w:t>(4)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158,020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4,306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233.4744</w:t>
            </w:r>
            <w:r>
              <w:rPr>
                <w:rFonts w:ascii="Arial" w:cs="Arial" w:eastAsia="Arial" w:hAnsi="Arial"/>
                <w:sz w:val="20"/>
                <w:szCs w:val="20"/>
                <w:color w:val="008000"/>
                <w:w w:val="89"/>
                <w:vertAlign w:val="superscript"/>
              </w:rPr>
              <w:t>(5)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153,714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3,300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234.6994</w:t>
            </w:r>
            <w:r>
              <w:rPr>
                <w:rFonts w:ascii="Arial" w:cs="Arial" w:eastAsia="Arial" w:hAnsi="Arial"/>
                <w:sz w:val="20"/>
                <w:szCs w:val="20"/>
                <w:color w:val="008000"/>
                <w:w w:val="89"/>
                <w:vertAlign w:val="superscript"/>
              </w:rPr>
              <w:t>(6)</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150,414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7,100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235.7777</w:t>
            </w:r>
            <w:r>
              <w:rPr>
                <w:rFonts w:ascii="Arial" w:cs="Arial" w:eastAsia="Arial" w:hAnsi="Arial"/>
                <w:sz w:val="20"/>
                <w:szCs w:val="20"/>
                <w:color w:val="008000"/>
                <w:w w:val="89"/>
                <w:vertAlign w:val="superscript"/>
              </w:rPr>
              <w:t>(7)</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143,314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15,460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236.6888</w:t>
            </w:r>
            <w:r>
              <w:rPr>
                <w:rFonts w:ascii="Arial" w:cs="Arial" w:eastAsia="Arial" w:hAnsi="Arial"/>
                <w:sz w:val="20"/>
                <w:szCs w:val="20"/>
                <w:color w:val="008000"/>
                <w:w w:val="89"/>
                <w:vertAlign w:val="superscript"/>
              </w:rPr>
              <w:t>(8)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127,854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10,511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237.7629</w:t>
            </w:r>
            <w:r>
              <w:rPr>
                <w:rFonts w:ascii="Arial" w:cs="Arial" w:eastAsia="Arial" w:hAnsi="Arial"/>
                <w:sz w:val="20"/>
                <w:szCs w:val="20"/>
                <w:color w:val="008000"/>
                <w:w w:val="89"/>
                <w:vertAlign w:val="superscript"/>
              </w:rPr>
              <w:t>(9)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117,343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6,800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238.5435</w:t>
            </w:r>
            <w:r>
              <w:rPr>
                <w:rFonts w:ascii="Arial" w:cs="Arial" w:eastAsia="Arial" w:hAnsi="Arial"/>
                <w:sz w:val="20"/>
                <w:szCs w:val="20"/>
                <w:color w:val="008000"/>
                <w:w w:val="88"/>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110,543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241.09</w:t>
            </w:r>
            <w:r>
              <w:rPr>
                <w:rFonts w:ascii="Arial" w:cs="Arial" w:eastAsia="Arial" w:hAnsi="Arial"/>
                <w:sz w:val="20"/>
                <w:szCs w:val="20"/>
                <w:color w:val="008000"/>
                <w:w w:val="88"/>
                <w:vertAlign w:val="superscript"/>
              </w:rPr>
              <w:t>(11)</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109,943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1,477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242.2148</w:t>
            </w:r>
            <w:r>
              <w:rPr>
                <w:rFonts w:ascii="Arial" w:cs="Arial" w:eastAsia="Arial" w:hAnsi="Arial"/>
                <w:sz w:val="20"/>
                <w:szCs w:val="20"/>
                <w:color w:val="008000"/>
                <w:w w:val="88"/>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108,466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1,023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242.9831</w:t>
            </w:r>
            <w:r>
              <w:rPr>
                <w:rFonts w:ascii="Arial" w:cs="Arial" w:eastAsia="Arial" w:hAnsi="Arial"/>
                <w:sz w:val="20"/>
                <w:szCs w:val="20"/>
                <w:color w:val="008000"/>
                <w:w w:val="88"/>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107,443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243.9827</w:t>
            </w:r>
            <w:r>
              <w:rPr>
                <w:rFonts w:ascii="Arial" w:cs="Arial" w:eastAsia="Arial" w:hAnsi="Arial"/>
                <w:sz w:val="20"/>
                <w:szCs w:val="20"/>
                <w:color w:val="008000"/>
                <w:w w:val="88"/>
                <w:vertAlign w:val="superscript"/>
              </w:rPr>
              <w:t>(14)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107,143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440" w:type="dxa"/>
            <w:vAlign w:val="bottom"/>
            <w:tcBorders>
              <w:bottom w:val="single" w:sz="8" w:color="2C2C2C"/>
            </w:tcBorders>
          </w:tcPr>
          <w:p>
            <w:pPr>
              <w:jc w:val="right"/>
              <w:ind w:right="104"/>
              <w:spacing w:after="0"/>
              <w:rPr>
                <w:sz w:val="20"/>
                <w:szCs w:val="20"/>
                <w:color w:val="auto"/>
              </w:rPr>
            </w:pPr>
            <w:r>
              <w:rPr>
                <w:rFonts w:ascii="Arial" w:cs="Arial" w:eastAsia="Arial" w:hAnsi="Arial"/>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8"/>
              </w:rPr>
              <w:t>107,143</w:t>
            </w:r>
            <w:r>
              <w:rPr>
                <w:rFonts w:ascii="Arial" w:cs="Arial" w:eastAsia="Arial" w:hAnsi="Arial"/>
                <w:sz w:val="20"/>
                <w:szCs w:val="20"/>
                <w:color w:val="008000"/>
                <w:w w:val="88"/>
                <w:vertAlign w:val="superscript"/>
              </w:rPr>
              <w:t>(15)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20" w:type="dxa"/>
            <w:vAlign w:val="bottom"/>
            <w:tcBorders>
              <w:bottom w:val="single" w:sz="8" w:color="2C2C2C"/>
            </w:tcBorders>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0000FF"/>
                <w:w w:val="89"/>
              </w:rPr>
              <w:t>70,143</w:t>
            </w:r>
          </w:p>
        </w:tc>
        <w:tc>
          <w:tcPr>
            <w:tcW w:w="54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70,143</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233.3275</w:t>
            </w:r>
            <w:r>
              <w:rPr>
                <w:rFonts w:ascii="Arial" w:cs="Arial" w:eastAsia="Arial" w:hAnsi="Arial"/>
                <w:sz w:val="20"/>
                <w:szCs w:val="20"/>
                <w:color w:val="008000"/>
                <w:w w:val="88"/>
                <w:vertAlign w:val="superscript"/>
              </w:rPr>
              <w:t>(16)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69,843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234.164</w:t>
            </w:r>
            <w:r>
              <w:rPr>
                <w:rFonts w:ascii="Arial" w:cs="Arial" w:eastAsia="Arial" w:hAnsi="Arial"/>
                <w:sz w:val="20"/>
                <w:szCs w:val="20"/>
                <w:color w:val="008000"/>
                <w:w w:val="88"/>
                <w:vertAlign w:val="superscript"/>
              </w:rPr>
              <w:t>(17)</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69,343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2,999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235.6456</w:t>
            </w:r>
            <w:r>
              <w:rPr>
                <w:rFonts w:ascii="Arial" w:cs="Arial" w:eastAsia="Arial" w:hAnsi="Arial"/>
                <w:sz w:val="20"/>
                <w:szCs w:val="20"/>
                <w:color w:val="008000"/>
                <w:w w:val="88"/>
                <w:vertAlign w:val="superscript"/>
              </w:rPr>
              <w:t>(18)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66,344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16,956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236.5433</w:t>
            </w:r>
            <w:r>
              <w:rPr>
                <w:rFonts w:ascii="Arial" w:cs="Arial" w:eastAsia="Arial" w:hAnsi="Arial"/>
                <w:sz w:val="20"/>
                <w:szCs w:val="20"/>
                <w:color w:val="008000"/>
                <w:w w:val="88"/>
                <w:vertAlign w:val="superscript"/>
              </w:rPr>
              <w:t>(19)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49,388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29,903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237.517</w:t>
            </w:r>
            <w:r>
              <w:rPr>
                <w:rFonts w:ascii="Arial" w:cs="Arial" w:eastAsia="Arial" w:hAnsi="Arial"/>
                <w:sz w:val="20"/>
                <w:szCs w:val="20"/>
                <w:color w:val="008000"/>
                <w:w w:val="88"/>
                <w:vertAlign w:val="superscript"/>
              </w:rPr>
              <w:t>(20)</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19,485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18,985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238.3647</w:t>
            </w:r>
            <w:r>
              <w:rPr>
                <w:rFonts w:ascii="Arial" w:cs="Arial" w:eastAsia="Arial" w:hAnsi="Arial"/>
                <w:sz w:val="20"/>
                <w:szCs w:val="20"/>
                <w:color w:val="008000"/>
                <w:w w:val="88"/>
                <w:vertAlign w:val="superscript"/>
              </w:rPr>
              <w:t>(21)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08/12/2020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239.2195</w:t>
            </w:r>
            <w:r>
              <w:rPr>
                <w:rFonts w:ascii="Arial" w:cs="Arial" w:eastAsia="Arial" w:hAnsi="Arial"/>
                <w:sz w:val="20"/>
                <w:szCs w:val="20"/>
                <w:color w:val="008000"/>
                <w:w w:val="88"/>
                <w:vertAlign w:val="superscript"/>
              </w:rPr>
              <w:t>(22)</w:t>
            </w: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right"/>
              <w:ind w:right="184"/>
              <w:spacing w:after="0"/>
              <w:rPr>
                <w:sz w:val="20"/>
                <w:szCs w:val="20"/>
                <w:color w:val="auto"/>
              </w:rPr>
            </w:pPr>
            <w:r>
              <w:rPr>
                <w:rFonts w:ascii="Arial" w:cs="Arial" w:eastAsia="Arial" w:hAnsi="Arial"/>
                <w:sz w:val="10"/>
                <w:szCs w:val="10"/>
                <w:color w:val="008000"/>
              </w:rPr>
              <w:t>(23)</w:t>
            </w:r>
          </w:p>
        </w:tc>
        <w:tc>
          <w:tcPr>
            <w:tcW w:w="78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color w:val="0000FF"/>
              </w:rPr>
              <w:t>177,286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08/11/2020</w:t>
            </w:r>
          </w:p>
        </w:tc>
        <w:tc>
          <w:tcPr>
            <w:tcW w:w="1060" w:type="dxa"/>
            <w:vAlign w:val="bottom"/>
          </w:tcPr>
          <w:p>
            <w:pPr>
              <w:spacing w:after="0"/>
              <w:rPr>
                <w:sz w:val="12"/>
                <w:szCs w:val="12"/>
                <w:color w:val="auto"/>
              </w:rPr>
            </w:pPr>
          </w:p>
        </w:tc>
        <w:tc>
          <w:tcPr>
            <w:tcW w:w="440" w:type="dxa"/>
            <w:vAlign w:val="bottom"/>
          </w:tcPr>
          <w:p>
            <w:pPr>
              <w:jc w:val="right"/>
              <w:ind w:right="142"/>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74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0000FF"/>
              </w:rPr>
              <w:t>177,286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23,645,503</w:t>
            </w: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right"/>
              <w:ind w:right="184"/>
              <w:spacing w:after="0"/>
              <w:rPr>
                <w:sz w:val="20"/>
                <w:szCs w:val="20"/>
                <w:color w:val="auto"/>
              </w:rPr>
            </w:pPr>
            <w:r>
              <w:rPr>
                <w:rFonts w:ascii="Arial" w:cs="Arial" w:eastAsia="Arial" w:hAnsi="Arial"/>
                <w:sz w:val="10"/>
                <w:szCs w:val="10"/>
                <w:color w:val="008000"/>
              </w:rPr>
              <w:t>(23)</w:t>
            </w:r>
          </w:p>
        </w:tc>
        <w:tc>
          <w:tcPr>
            <w:tcW w:w="78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right"/>
              <w:ind w:right="82"/>
              <w:spacing w:after="0"/>
              <w:rPr>
                <w:sz w:val="20"/>
                <w:szCs w:val="20"/>
                <w:color w:val="auto"/>
              </w:rPr>
            </w:pPr>
            <w:r>
              <w:rPr>
                <w:rFonts w:ascii="Arial" w:cs="Arial" w:eastAsia="Arial" w:hAnsi="Arial"/>
                <w:sz w:val="16"/>
                <w:szCs w:val="16"/>
                <w:color w:val="0000FF"/>
              </w:rPr>
              <w:t>70,143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08/12/2020</w:t>
            </w:r>
          </w:p>
        </w:tc>
        <w:tc>
          <w:tcPr>
            <w:tcW w:w="1060" w:type="dxa"/>
            <w:vAlign w:val="bottom"/>
          </w:tcPr>
          <w:p>
            <w:pPr>
              <w:spacing w:after="0"/>
              <w:rPr>
                <w:sz w:val="12"/>
                <w:szCs w:val="12"/>
                <w:color w:val="auto"/>
              </w:rPr>
            </w:pPr>
          </w:p>
        </w:tc>
        <w:tc>
          <w:tcPr>
            <w:tcW w:w="440" w:type="dxa"/>
            <w:vAlign w:val="bottom"/>
          </w:tcPr>
          <w:p>
            <w:pPr>
              <w:jc w:val="right"/>
              <w:ind w:right="142"/>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0000FF"/>
              </w:rPr>
              <w:t>70,143</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23,575,360</w:t>
            </w: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-1971675</wp:posOffset>
            </wp:positionV>
            <wp:extent cx="7035165" cy="2084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08407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354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354070"/>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367,415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(24)</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09/24/2028</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9"/>
              </w:rPr>
              <w:t>367,415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(23)</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132,585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09/24/2023</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9"/>
              </w:rPr>
              <w:t>132,585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(23)</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(23)</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(26)</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(23)</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(27)</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(23)</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1,783,500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1,783,500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(28)</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$230.00 to $230.99.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$231.03 to $232.03.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$232.04 to $233.04.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$233.05 to $234.00.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$234.08 to $235.08.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$235.17 to $236.17.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$236.18 to $237.18.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$237.19 to $238.17.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$238.20 to $239.10.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$240.44 to $241.43.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$241.54 to $242.52.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$242.55 to $243.39.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$243.74 to $244.13.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2"/>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39" w:lineRule="exact"/>
        <w:rPr>
          <w:rFonts w:ascii="Arial" w:cs="Arial" w:eastAsia="Arial" w:hAnsi="Arial"/>
          <w:sz w:val="13"/>
          <w:szCs w:val="13"/>
          <w:color w:val="008000"/>
        </w:rPr>
      </w:pP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$233.00 to $233.50.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$234.01 to $234.78.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$235.02 to $236.02.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$236.03 to $237.03.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$237.04 to $238.04.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$238.05 to $239.00.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$239.08 to $239.31.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249"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2"/>
        <w:spacing w:after="0" w:line="323"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 w:lineRule="exact"/>
        <w:rPr>
          <w:rFonts w:ascii="Arial" w:cs="Arial" w:eastAsia="Arial" w:hAnsi="Arial"/>
          <w:sz w:val="10"/>
          <w:szCs w:val="10"/>
          <w:color w:val="008000"/>
        </w:rPr>
      </w:pPr>
    </w:p>
    <w:p>
      <w:pPr>
        <w:ind w:left="20" w:right="220" w:hanging="2"/>
        <w:spacing w:after="0" w:line="258"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0" w:lineRule="exact"/>
        <w:rPr>
          <w:rFonts w:ascii="Arial" w:cs="Arial" w:eastAsia="Arial" w:hAnsi="Arial"/>
          <w:sz w:val="12"/>
          <w:szCs w:val="12"/>
          <w:color w:val="008000"/>
        </w:rPr>
      </w:pPr>
    </w:p>
    <w:p>
      <w:pPr>
        <w:ind w:left="20" w:right="14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 w:right="30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00" w:hanging="182"/>
        <w:spacing w:after="0"/>
        <w:tabs>
          <w:tab w:leader="none" w:pos="20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2018 Yuan and Zhang Revocable Trust, for which the Reporting Person and the Reporting Person's spouse serve as cotrustees.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60" w:type="dxa"/>
            <w:vAlign w:val="bottom"/>
          </w:tcPr>
          <w:p>
            <w:pPr>
              <w:spacing w:after="0"/>
              <w:rPr>
                <w:sz w:val="15"/>
                <w:szCs w:val="15"/>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08/13/2020</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85" w:right="37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2020-08-13T18:02:17Z</dcterms:created>
  <dcterms:modified xsi:type="dcterms:W3CDTF">2020-08-13T18:02:17Z</dcterms:modified>
</cp:coreProperties>
</file>