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17, 2021</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20" w:lineRule="exact"/>
        <w:rPr>
          <w:sz w:val="24"/>
          <w:szCs w:val="24"/>
          <w:color w:val="auto"/>
        </w:rPr>
      </w:pPr>
    </w:p>
    <w:tbl>
      <w:tblPr>
        <w:tblLayout w:type="fixed"/>
        <w:tblInd w:w="1040" w:type="dxa"/>
        <w:tblCellMar>
          <w:top w:w="0" w:type="dxa"/>
          <w:left w:w="0" w:type="dxa"/>
          <w:bottom w:w="0" w:type="dxa"/>
          <w:right w:w="0" w:type="dxa"/>
        </w:tblCellMar>
      </w:tblPr>
      <w:tr>
        <w:trPr>
          <w:trHeight w:val="243"/>
        </w:trPr>
        <w:tc>
          <w:tcPr>
            <w:tcW w:w="2120" w:type="dxa"/>
            <w:vAlign w:val="bottom"/>
          </w:tcPr>
          <w:p>
            <w:pPr>
              <w:jc w:val="center"/>
              <w:ind w:right="359"/>
              <w:spacing w:after="0"/>
              <w:rPr>
                <w:sz w:val="20"/>
                <w:szCs w:val="20"/>
                <w:color w:val="auto"/>
              </w:rPr>
            </w:pPr>
            <w:r>
              <w:rPr>
                <w:rFonts w:ascii="Arial" w:cs="Arial" w:eastAsia="Arial" w:hAnsi="Arial"/>
                <w:sz w:val="20"/>
                <w:szCs w:val="20"/>
                <w:b w:val="1"/>
                <w:bCs w:val="1"/>
                <w:color w:val="auto"/>
                <w:w w:val="91"/>
              </w:rPr>
              <w:t>Delaware</w:t>
            </w:r>
          </w:p>
        </w:tc>
        <w:tc>
          <w:tcPr>
            <w:tcW w:w="5060" w:type="dxa"/>
            <w:vAlign w:val="bottom"/>
          </w:tcPr>
          <w:p>
            <w:pPr>
              <w:jc w:val="center"/>
              <w:ind w:right="73"/>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center"/>
              <w:ind w:left="499"/>
              <w:spacing w:after="0"/>
              <w:rPr>
                <w:sz w:val="20"/>
                <w:szCs w:val="20"/>
                <w:color w:val="auto"/>
              </w:rPr>
            </w:pPr>
            <w:r>
              <w:rPr>
                <w:rFonts w:ascii="Arial" w:cs="Arial" w:eastAsia="Arial" w:hAnsi="Arial"/>
                <w:sz w:val="20"/>
                <w:szCs w:val="20"/>
                <w:b w:val="1"/>
                <w:bCs w:val="1"/>
                <w:color w:val="auto"/>
                <w:w w:val="89"/>
              </w:rPr>
              <w:t>61-1648780</w:t>
            </w:r>
          </w:p>
        </w:tc>
        <w:tc>
          <w:tcPr>
            <w:tcW w:w="0" w:type="dxa"/>
            <w:vAlign w:val="bottom"/>
          </w:tcPr>
          <w:p>
            <w:pPr>
              <w:spacing w:after="0"/>
              <w:rPr>
                <w:sz w:val="1"/>
                <w:szCs w:val="1"/>
                <w:color w:val="auto"/>
              </w:rPr>
            </w:pPr>
          </w:p>
        </w:tc>
      </w:tr>
      <w:tr>
        <w:trPr>
          <w:trHeight w:val="144"/>
        </w:trPr>
        <w:tc>
          <w:tcPr>
            <w:tcW w:w="2120" w:type="dxa"/>
            <w:vAlign w:val="bottom"/>
          </w:tcPr>
          <w:p>
            <w:pPr>
              <w:jc w:val="center"/>
              <w:ind w:right="339"/>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9"/>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120" w:type="dxa"/>
            <w:vAlign w:val="bottom"/>
          </w:tcPr>
          <w:p>
            <w:pPr>
              <w:jc w:val="center"/>
              <w:ind w:right="339"/>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vMerge w:val="continue"/>
          </w:tcPr>
          <w:p>
            <w:pPr>
              <w:spacing w:after="0"/>
              <w:rPr>
                <w:sz w:val="16"/>
                <w:szCs w:val="16"/>
                <w:color w:val="auto"/>
              </w:rPr>
            </w:pPr>
          </w:p>
        </w:tc>
        <w:tc>
          <w:tcPr>
            <w:tcW w:w="1700" w:type="dxa"/>
            <w:vAlign w:val="bottom"/>
          </w:tcPr>
          <w:p>
            <w:pPr>
              <w:jc w:val="center"/>
              <w:ind w:left="49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0"/>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88"/>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120" w:type="dxa"/>
            <w:vAlign w:val="bottom"/>
          </w:tcPr>
          <w:p>
            <w:pPr>
              <w:spacing w:after="0"/>
              <w:rPr>
                <w:sz w:val="24"/>
                <w:szCs w:val="24"/>
                <w:color w:val="auto"/>
              </w:rPr>
            </w:pPr>
          </w:p>
        </w:tc>
        <w:tc>
          <w:tcPr>
            <w:tcW w:w="5060" w:type="dxa"/>
            <w:vAlign w:val="bottom"/>
          </w:tcPr>
          <w:p>
            <w:pPr>
              <w:jc w:val="center"/>
              <w:ind w:right="53"/>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506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88"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June 17, 2021, Zoom Video Communications, Inc. (the “Company”) held its 2021 Annual Meeting of Stockholders (the "Annual Meeting"). At the Annual Meeting, the Company’s stockholders (1) elected each of the Company’s nominees for Class II director, (2) ratified the appointment of KPMG LLP as the Company’s independent registered public accounting firm for the fiscal year ending January 31, 2022, (3) approved, on an advisory basis, the compensation of the Company's named executive officers, and (4) approved, on an advisory basis, every one year as the preferred frequency for the solicitation of advisory stockholder approval of the compensation paid to the Company's executive officers. The final results with respect to each proposal are set forth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One – Election of Directors</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stockholders elected each of the three persons named below as Class II directors to serve until the 2024 annual meeting of stockholders or until their successors are duly elected and qualified. The results of such vote were:</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2080" w:type="dxa"/>
            <w:vAlign w:val="bottom"/>
            <w:gridSpan w:val="4"/>
            <w:vMerge w:val="restart"/>
          </w:tcPr>
          <w:p>
            <w:pPr>
              <w:jc w:val="center"/>
              <w:ind w:left="450"/>
              <w:spacing w:after="0"/>
              <w:rPr>
                <w:sz w:val="20"/>
                <w:szCs w:val="20"/>
                <w:color w:val="auto"/>
              </w:rPr>
            </w:pPr>
            <w:r>
              <w:rPr>
                <w:rFonts w:ascii="Arial" w:cs="Arial" w:eastAsia="Arial" w:hAnsi="Arial"/>
                <w:sz w:val="18"/>
                <w:szCs w:val="18"/>
                <w:b w:val="1"/>
                <w:bCs w:val="1"/>
                <w:color w:val="auto"/>
                <w:w w:val="99"/>
              </w:rPr>
              <w:t>FOR</w:t>
            </w:r>
          </w:p>
        </w:tc>
        <w:tc>
          <w:tcPr>
            <w:tcW w:w="2120" w:type="dxa"/>
            <w:vAlign w:val="bottom"/>
            <w:gridSpan w:val="4"/>
            <w:vMerge w:val="restart"/>
          </w:tcPr>
          <w:p>
            <w:pPr>
              <w:jc w:val="center"/>
              <w:ind w:left="450"/>
              <w:spacing w:after="0"/>
              <w:rPr>
                <w:sz w:val="20"/>
                <w:szCs w:val="20"/>
                <w:color w:val="auto"/>
              </w:rPr>
            </w:pPr>
            <w:r>
              <w:rPr>
                <w:rFonts w:ascii="Arial" w:cs="Arial" w:eastAsia="Arial" w:hAnsi="Arial"/>
                <w:sz w:val="18"/>
                <w:szCs w:val="18"/>
                <w:b w:val="1"/>
                <w:bCs w:val="1"/>
                <w:color w:val="auto"/>
              </w:rPr>
              <w:t>WITHHELD</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BROKER</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60" w:type="dxa"/>
            <w:vAlign w:val="bottom"/>
            <w:vMerge w:val="restart"/>
          </w:tcPr>
          <w:p>
            <w:pPr>
              <w:ind w:left="640"/>
              <w:spacing w:after="0"/>
              <w:rPr>
                <w:sz w:val="20"/>
                <w:szCs w:val="20"/>
                <w:color w:val="auto"/>
              </w:rPr>
            </w:pPr>
            <w:r>
              <w:rPr>
                <w:rFonts w:ascii="Arial" w:cs="Arial" w:eastAsia="Arial" w:hAnsi="Arial"/>
                <w:sz w:val="18"/>
                <w:szCs w:val="18"/>
                <w:color w:val="auto"/>
              </w:rPr>
              <w:t>Jonathan</w:t>
            </w:r>
          </w:p>
        </w:tc>
        <w:tc>
          <w:tcPr>
            <w:tcW w:w="2080" w:type="dxa"/>
            <w:vAlign w:val="bottom"/>
            <w:gridSpan w:val="4"/>
            <w:vMerge w:val="continue"/>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1460" w:type="dxa"/>
            <w:vAlign w:val="bottom"/>
            <w:gridSpan w:val="4"/>
            <w:vMerge w:val="restart"/>
          </w:tcPr>
          <w:p>
            <w:pPr>
              <w:spacing w:after="0" w:line="156" w:lineRule="exact"/>
              <w:rPr>
                <w:sz w:val="20"/>
                <w:szCs w:val="20"/>
                <w:color w:val="auto"/>
              </w:rPr>
            </w:pPr>
            <w:r>
              <w:rPr>
                <w:rFonts w:ascii="Arial" w:cs="Arial" w:eastAsia="Arial" w:hAnsi="Arial"/>
                <w:sz w:val="18"/>
                <w:szCs w:val="18"/>
                <w:b w:val="1"/>
                <w:bCs w:val="1"/>
                <w:color w:val="auto"/>
              </w:rPr>
              <w:t>NON-VOTE</w:t>
            </w:r>
          </w:p>
        </w:tc>
        <w:tc>
          <w:tcPr>
            <w:tcW w:w="0" w:type="dxa"/>
            <w:vAlign w:val="bottom"/>
          </w:tcPr>
          <w:p>
            <w:pPr>
              <w:spacing w:after="0"/>
              <w:rPr>
                <w:sz w:val="1"/>
                <w:szCs w:val="1"/>
                <w:color w:val="auto"/>
              </w:rPr>
            </w:pPr>
          </w:p>
        </w:tc>
      </w:tr>
      <w:tr>
        <w:trPr>
          <w:trHeight w:val="74"/>
        </w:trPr>
        <w:tc>
          <w:tcPr>
            <w:tcW w:w="20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1960" w:type="dxa"/>
            <w:vAlign w:val="bottom"/>
            <w:gridSpan w:val="3"/>
            <w:vMerge w:val="restart"/>
          </w:tcPr>
          <w:p>
            <w:pPr>
              <w:jc w:val="center"/>
              <w:ind w:left="570"/>
              <w:spacing w:after="0"/>
              <w:rPr>
                <w:sz w:val="20"/>
                <w:szCs w:val="20"/>
                <w:color w:val="auto"/>
              </w:rPr>
            </w:pPr>
            <w:r>
              <w:rPr>
                <w:rFonts w:ascii="Arial" w:cs="Arial" w:eastAsia="Arial" w:hAnsi="Arial"/>
                <w:sz w:val="18"/>
                <w:szCs w:val="18"/>
                <w:color w:val="auto"/>
                <w:w w:val="89"/>
              </w:rPr>
              <w:t>659,058,922</w:t>
            </w:r>
          </w:p>
        </w:tc>
        <w:tc>
          <w:tcPr>
            <w:tcW w:w="120" w:type="dxa"/>
            <w:vAlign w:val="bottom"/>
          </w:tcPr>
          <w:p>
            <w:pPr>
              <w:spacing w:after="0"/>
              <w:rPr>
                <w:sz w:val="17"/>
                <w:szCs w:val="17"/>
                <w:color w:val="auto"/>
              </w:rPr>
            </w:pPr>
          </w:p>
        </w:tc>
        <w:tc>
          <w:tcPr>
            <w:tcW w:w="1840" w:type="dxa"/>
            <w:vAlign w:val="bottom"/>
            <w:gridSpan w:val="2"/>
            <w:vMerge w:val="restart"/>
          </w:tcPr>
          <w:p>
            <w:pPr>
              <w:jc w:val="center"/>
              <w:ind w:left="730"/>
              <w:spacing w:after="0"/>
              <w:rPr>
                <w:sz w:val="20"/>
                <w:szCs w:val="20"/>
                <w:color w:val="auto"/>
              </w:rPr>
            </w:pPr>
            <w:r>
              <w:rPr>
                <w:rFonts w:ascii="Arial" w:cs="Arial" w:eastAsia="Arial" w:hAnsi="Arial"/>
                <w:sz w:val="18"/>
                <w:szCs w:val="18"/>
                <w:color w:val="auto"/>
                <w:w w:val="90"/>
              </w:rPr>
              <w:t>23,754,458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1460" w:type="dxa"/>
            <w:vAlign w:val="bottom"/>
            <w:gridSpan w:val="4"/>
            <w:vMerge w:val="restart"/>
          </w:tcPr>
          <w:p>
            <w:pPr>
              <w:ind w:left="400"/>
              <w:spacing w:after="0"/>
              <w:rPr>
                <w:sz w:val="20"/>
                <w:szCs w:val="20"/>
                <w:color w:val="auto"/>
              </w:rPr>
            </w:pPr>
            <w:r>
              <w:rPr>
                <w:rFonts w:ascii="Arial" w:cs="Arial" w:eastAsia="Arial" w:hAnsi="Arial"/>
                <w:sz w:val="18"/>
                <w:szCs w:val="18"/>
                <w:color w:val="auto"/>
              </w:rPr>
              <w:t>58,857,400</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20"/>
                <w:szCs w:val="20"/>
                <w:color w:val="auto"/>
              </w:rPr>
            </w:pPr>
            <w:r>
              <w:rPr>
                <w:rFonts w:ascii="Arial" w:cs="Arial" w:eastAsia="Arial" w:hAnsi="Arial"/>
                <w:sz w:val="18"/>
                <w:szCs w:val="18"/>
                <w:color w:val="auto"/>
              </w:rPr>
              <w:t>Chadwick</w:t>
            </w:r>
          </w:p>
        </w:tc>
        <w:tc>
          <w:tcPr>
            <w:tcW w:w="19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60" w:type="dxa"/>
            <w:vAlign w:val="bottom"/>
          </w:tcPr>
          <w:p>
            <w:pPr>
              <w:ind w:left="640"/>
              <w:spacing w:after="0" w:line="156" w:lineRule="exact"/>
              <w:rPr>
                <w:sz w:val="20"/>
                <w:szCs w:val="20"/>
                <w:color w:val="auto"/>
              </w:rPr>
            </w:pPr>
            <w:r>
              <w:rPr>
                <w:rFonts w:ascii="Arial" w:cs="Arial" w:eastAsia="Arial" w:hAnsi="Arial"/>
                <w:sz w:val="18"/>
                <w:szCs w:val="18"/>
                <w:color w:val="auto"/>
              </w:rPr>
              <w:t>Kimberly</w:t>
            </w:r>
          </w:p>
        </w:tc>
        <w:tc>
          <w:tcPr>
            <w:tcW w:w="1960" w:type="dxa"/>
            <w:vAlign w:val="bottom"/>
            <w:gridSpan w:val="3"/>
            <w:vMerge w:val="restart"/>
          </w:tcPr>
          <w:p>
            <w:pPr>
              <w:jc w:val="center"/>
              <w:ind w:left="570"/>
              <w:spacing w:after="0"/>
              <w:rPr>
                <w:sz w:val="20"/>
                <w:szCs w:val="20"/>
                <w:color w:val="auto"/>
              </w:rPr>
            </w:pPr>
            <w:r>
              <w:rPr>
                <w:rFonts w:ascii="Arial" w:cs="Arial" w:eastAsia="Arial" w:hAnsi="Arial"/>
                <w:sz w:val="18"/>
                <w:szCs w:val="18"/>
                <w:color w:val="auto"/>
                <w:w w:val="89"/>
              </w:rPr>
              <w:t>656,619,550</w:t>
            </w:r>
          </w:p>
        </w:tc>
        <w:tc>
          <w:tcPr>
            <w:tcW w:w="120" w:type="dxa"/>
            <w:vAlign w:val="bottom"/>
          </w:tcPr>
          <w:p>
            <w:pPr>
              <w:spacing w:after="0"/>
              <w:rPr>
                <w:sz w:val="13"/>
                <w:szCs w:val="13"/>
                <w:color w:val="auto"/>
              </w:rPr>
            </w:pPr>
          </w:p>
        </w:tc>
        <w:tc>
          <w:tcPr>
            <w:tcW w:w="1840" w:type="dxa"/>
            <w:vAlign w:val="bottom"/>
            <w:gridSpan w:val="2"/>
            <w:vMerge w:val="restart"/>
          </w:tcPr>
          <w:p>
            <w:pPr>
              <w:jc w:val="center"/>
              <w:ind w:left="730"/>
              <w:spacing w:after="0"/>
              <w:rPr>
                <w:sz w:val="20"/>
                <w:szCs w:val="20"/>
                <w:color w:val="auto"/>
              </w:rPr>
            </w:pPr>
            <w:r>
              <w:rPr>
                <w:rFonts w:ascii="Arial" w:cs="Arial" w:eastAsia="Arial" w:hAnsi="Arial"/>
                <w:sz w:val="18"/>
                <w:szCs w:val="18"/>
                <w:color w:val="auto"/>
                <w:w w:val="90"/>
              </w:rPr>
              <w:t>26,194,099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vMerge w:val="restart"/>
          </w:tcPr>
          <w:p>
            <w:pPr>
              <w:ind w:left="900"/>
              <w:spacing w:after="0"/>
              <w:rPr>
                <w:sz w:val="20"/>
                <w:szCs w:val="20"/>
                <w:color w:val="auto"/>
              </w:rPr>
            </w:pPr>
            <w:r>
              <w:rPr>
                <w:rFonts w:ascii="Arial" w:cs="Arial" w:eastAsia="Arial" w:hAnsi="Arial"/>
                <w:sz w:val="18"/>
                <w:szCs w:val="18"/>
                <w:color w:val="auto"/>
              </w:rPr>
              <w:t>58,857,400</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20"/>
                <w:szCs w:val="20"/>
                <w:color w:val="auto"/>
              </w:rPr>
            </w:pPr>
            <w:r>
              <w:rPr>
                <w:rFonts w:ascii="Arial" w:cs="Arial" w:eastAsia="Arial" w:hAnsi="Arial"/>
                <w:sz w:val="18"/>
                <w:szCs w:val="18"/>
                <w:color w:val="auto"/>
              </w:rPr>
              <w:t>Hammonds</w:t>
            </w:r>
          </w:p>
        </w:tc>
        <w:tc>
          <w:tcPr>
            <w:tcW w:w="19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60" w:type="dxa"/>
            <w:vAlign w:val="bottom"/>
          </w:tcPr>
          <w:p>
            <w:pPr>
              <w:ind w:left="640"/>
              <w:spacing w:after="0"/>
              <w:rPr>
                <w:sz w:val="20"/>
                <w:szCs w:val="20"/>
                <w:color w:val="auto"/>
              </w:rPr>
            </w:pPr>
            <w:r>
              <w:rPr>
                <w:rFonts w:ascii="Arial" w:cs="Arial" w:eastAsia="Arial" w:hAnsi="Arial"/>
                <w:sz w:val="18"/>
                <w:szCs w:val="18"/>
                <w:color w:val="auto"/>
              </w:rPr>
              <w:t>Dan Scheinman</w:t>
            </w:r>
          </w:p>
        </w:tc>
        <w:tc>
          <w:tcPr>
            <w:tcW w:w="19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9"/>
              </w:rPr>
              <w:t>656,754,262</w:t>
            </w:r>
          </w:p>
        </w:tc>
        <w:tc>
          <w:tcPr>
            <w:tcW w:w="120" w:type="dxa"/>
            <w:vAlign w:val="bottom"/>
          </w:tcPr>
          <w:p>
            <w:pPr>
              <w:spacing w:after="0"/>
              <w:rPr>
                <w:sz w:val="21"/>
                <w:szCs w:val="21"/>
                <w:color w:val="auto"/>
              </w:rPr>
            </w:pPr>
          </w:p>
        </w:tc>
        <w:tc>
          <w:tcPr>
            <w:tcW w:w="184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0"/>
              </w:rPr>
              <w:t>26,059,387</w:t>
            </w: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color w:val="auto"/>
              </w:rPr>
              <w:t>58,857,400</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Two – Ratification of Selection of Independent Public Registered Accounting Firm</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stockholders ratified the appointment of KPMG LLP as the Company's independent registered public accounting firm for the fiscal year ending January 31, 2022. The results of such vote were:</w:t>
      </w:r>
    </w:p>
    <w:p>
      <w:pPr>
        <w:spacing w:after="0" w:line="22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2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9"/>
              </w:rPr>
              <w:t>FOR</w:t>
            </w:r>
          </w:p>
        </w:tc>
        <w:tc>
          <w:tcPr>
            <w:tcW w:w="18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rPr>
              <w:t>AGAINST</w:t>
            </w:r>
          </w:p>
        </w:tc>
        <w:tc>
          <w:tcPr>
            <w:tcW w:w="17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7"/>
              </w:rPr>
              <w:t>ABSTAIN</w:t>
            </w: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420" w:type="dxa"/>
            <w:vAlign w:val="bottom"/>
            <w:gridSpan w:val="3"/>
          </w:tcPr>
          <w:p>
            <w:pPr>
              <w:jc w:val="right"/>
              <w:ind w:right="1520"/>
              <w:spacing w:after="0"/>
              <w:rPr>
                <w:sz w:val="20"/>
                <w:szCs w:val="20"/>
                <w:color w:val="auto"/>
              </w:rPr>
            </w:pPr>
            <w:r>
              <w:rPr>
                <w:rFonts w:ascii="Arial" w:cs="Arial" w:eastAsia="Arial" w:hAnsi="Arial"/>
                <w:sz w:val="18"/>
                <w:szCs w:val="18"/>
                <w:color w:val="auto"/>
                <w:w w:val="87"/>
              </w:rPr>
              <w:t>741,051,386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486,444</w:t>
            </w:r>
          </w:p>
        </w:tc>
        <w:tc>
          <w:tcPr>
            <w:tcW w:w="1000" w:type="dxa"/>
            <w:vAlign w:val="bottom"/>
          </w:tcPr>
          <w:p>
            <w:pPr>
              <w:spacing w:after="0"/>
              <w:rPr>
                <w:sz w:val="21"/>
                <w:szCs w:val="21"/>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133,219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Three – Advisory Vote on Executive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stockholders advised that they were in favor of the compensation of the Company's named executive officers. The results of such vote were:</w:t>
      </w:r>
    </w:p>
    <w:p>
      <w:pPr>
        <w:spacing w:after="0" w:line="298"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1460" w:type="dxa"/>
            <w:vAlign w:val="bottom"/>
            <w:gridSpan w:val="3"/>
            <w:vMerge w:val="restart"/>
          </w:tcPr>
          <w:p>
            <w:pPr>
              <w:jc w:val="center"/>
              <w:ind w:right="560"/>
              <w:spacing w:after="0"/>
              <w:rPr>
                <w:sz w:val="20"/>
                <w:szCs w:val="20"/>
                <w:color w:val="auto"/>
              </w:rPr>
            </w:pPr>
            <w:r>
              <w:rPr>
                <w:rFonts w:ascii="Arial" w:cs="Arial" w:eastAsia="Arial" w:hAnsi="Arial"/>
                <w:sz w:val="18"/>
                <w:szCs w:val="18"/>
                <w:b w:val="1"/>
                <w:bCs w:val="1"/>
                <w:color w:val="auto"/>
                <w:w w:val="99"/>
              </w:rPr>
              <w:t>FOR</w:t>
            </w:r>
          </w:p>
        </w:tc>
        <w:tc>
          <w:tcPr>
            <w:tcW w:w="204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rPr>
              <w:t>AGAINST</w:t>
            </w:r>
          </w:p>
        </w:tc>
        <w:tc>
          <w:tcPr>
            <w:tcW w:w="250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7"/>
              </w:rPr>
              <w:t>ABSTAIN</w:t>
            </w: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BROKER NON-</w:t>
            </w:r>
          </w:p>
        </w:tc>
        <w:tc>
          <w:tcPr>
            <w:tcW w:w="0" w:type="dxa"/>
            <w:vAlign w:val="bottom"/>
          </w:tcPr>
          <w:p>
            <w:pPr>
              <w:spacing w:after="0"/>
              <w:rPr>
                <w:sz w:val="1"/>
                <w:szCs w:val="1"/>
                <w:color w:val="auto"/>
              </w:rPr>
            </w:pPr>
          </w:p>
        </w:tc>
      </w:tr>
      <w:tr>
        <w:trPr>
          <w:trHeight w:val="61"/>
        </w:trPr>
        <w:tc>
          <w:tcPr>
            <w:tcW w:w="1460" w:type="dxa"/>
            <w:vAlign w:val="bottom"/>
            <w:gridSpan w:val="3"/>
            <w:vMerge w:val="continue"/>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restart"/>
          </w:tcPr>
          <w:p>
            <w:pPr>
              <w:spacing w:after="0" w:line="156" w:lineRule="exact"/>
              <w:rPr>
                <w:sz w:val="20"/>
                <w:szCs w:val="20"/>
                <w:color w:val="auto"/>
              </w:rPr>
            </w:pPr>
            <w:r>
              <w:rPr>
                <w:rFonts w:ascii="Arial" w:cs="Arial" w:eastAsia="Arial" w:hAnsi="Arial"/>
                <w:sz w:val="18"/>
                <w:szCs w:val="18"/>
                <w:b w:val="1"/>
                <w:bCs w:val="1"/>
                <w:color w:val="auto"/>
              </w:rPr>
              <w:t>VOTE</w:t>
            </w:r>
          </w:p>
        </w:tc>
        <w:tc>
          <w:tcPr>
            <w:tcW w:w="7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w w:val="87"/>
              </w:rPr>
              <w:t>644,601,293</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w w:val="88"/>
              </w:rPr>
              <w:t>38,077,168</w:t>
            </w:r>
          </w:p>
        </w:tc>
        <w:tc>
          <w:tcPr>
            <w:tcW w:w="6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135,188</w:t>
            </w:r>
          </w:p>
        </w:tc>
        <w:tc>
          <w:tcPr>
            <w:tcW w:w="10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58,857,400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Four – Advisory Vote on the Frequency of Solicitation of Advisory Stockholder Approval of Executive Compensation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stockholders approved, on an advisory basis, every one year as the preferred frequency for the solicitation of advisory stockholder approval of the compensation paid to the Company's executive officers. The results of such vote were:</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8"/>
                <w:szCs w:val="18"/>
                <w:b w:val="1"/>
                <w:bCs w:val="1"/>
                <w:color w:val="auto"/>
                <w:w w:val="98"/>
              </w:rPr>
              <w:t>1 YEAR</w:t>
            </w:r>
          </w:p>
        </w:tc>
        <w:tc>
          <w:tcPr>
            <w:tcW w:w="56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6"/>
              </w:rPr>
              <w:t>3 YEARS</w:t>
            </w:r>
          </w:p>
        </w:tc>
        <w:tc>
          <w:tcPr>
            <w:tcW w:w="16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420" w:type="dxa"/>
            <w:vAlign w:val="bottom"/>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BROKER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360" w:type="dxa"/>
            <w:vAlign w:val="bottom"/>
            <w:gridSpan w:val="4"/>
            <w:vMerge w:val="restart"/>
          </w:tcPr>
          <w:p>
            <w:pPr>
              <w:spacing w:after="0" w:line="156" w:lineRule="exact"/>
              <w:rPr>
                <w:sz w:val="20"/>
                <w:szCs w:val="20"/>
                <w:color w:val="auto"/>
              </w:rPr>
            </w:pPr>
            <w:r>
              <w:rPr>
                <w:rFonts w:ascii="Arial" w:cs="Arial" w:eastAsia="Arial" w:hAnsi="Arial"/>
                <w:sz w:val="18"/>
                <w:szCs w:val="18"/>
                <w:b w:val="1"/>
                <w:bCs w:val="1"/>
                <w:color w:val="auto"/>
              </w:rPr>
              <w:t>YEARS</w:t>
            </w:r>
          </w:p>
        </w:tc>
        <w:tc>
          <w:tcPr>
            <w:tcW w:w="5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20" w:type="dxa"/>
            <w:vAlign w:val="bottom"/>
            <w:gridSpan w:val="4"/>
            <w:vMerge w:val="restart"/>
          </w:tcPr>
          <w:p>
            <w:pPr>
              <w:spacing w:after="0" w:line="156" w:lineRule="exact"/>
              <w:rPr>
                <w:sz w:val="20"/>
                <w:szCs w:val="20"/>
                <w:color w:val="auto"/>
              </w:rPr>
            </w:pPr>
            <w:r>
              <w:rPr>
                <w:rFonts w:ascii="Arial" w:cs="Arial" w:eastAsia="Arial" w:hAnsi="Arial"/>
                <w:sz w:val="18"/>
                <w:szCs w:val="18"/>
                <w:b w:val="1"/>
                <w:bCs w:val="1"/>
                <w:color w:val="auto"/>
              </w:rPr>
              <w:t>NON-VOTE</w:t>
            </w: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w w:val="87"/>
              </w:rPr>
              <w:t>669,973,698</w:t>
            </w:r>
          </w:p>
        </w:tc>
        <w:tc>
          <w:tcPr>
            <w:tcW w:w="1360" w:type="dxa"/>
            <w:vAlign w:val="bottom"/>
            <w:gridSpan w:val="4"/>
          </w:tcPr>
          <w:p>
            <w:pPr>
              <w:jc w:val="right"/>
              <w:ind w:right="480"/>
              <w:spacing w:after="0"/>
              <w:rPr>
                <w:sz w:val="20"/>
                <w:szCs w:val="20"/>
                <w:color w:val="auto"/>
              </w:rPr>
            </w:pPr>
            <w:r>
              <w:rPr>
                <w:rFonts w:ascii="Arial" w:cs="Arial" w:eastAsia="Arial" w:hAnsi="Arial"/>
                <w:sz w:val="18"/>
                <w:szCs w:val="18"/>
                <w:color w:val="auto"/>
              </w:rPr>
              <w:t>68,318</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12,651,827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119,806</w:t>
            </w:r>
          </w:p>
        </w:tc>
        <w:tc>
          <w:tcPr>
            <w:tcW w:w="400" w:type="dxa"/>
            <w:vAlign w:val="bottom"/>
          </w:tcPr>
          <w:p>
            <w:pPr>
              <w:spacing w:after="0"/>
              <w:rPr>
                <w:sz w:val="21"/>
                <w:szCs w:val="21"/>
                <w:color w:val="auto"/>
              </w:rPr>
            </w:pPr>
          </w:p>
        </w:tc>
        <w:tc>
          <w:tcPr>
            <w:tcW w:w="1220" w:type="dxa"/>
            <w:vAlign w:val="bottom"/>
            <w:gridSpan w:val="4"/>
          </w:tcPr>
          <w:p>
            <w:pPr>
              <w:ind w:left="400"/>
              <w:spacing w:after="0"/>
              <w:rPr>
                <w:sz w:val="20"/>
                <w:szCs w:val="20"/>
                <w:color w:val="auto"/>
              </w:rPr>
            </w:pPr>
            <w:r>
              <w:rPr>
                <w:rFonts w:ascii="Arial" w:cs="Arial" w:eastAsia="Arial" w:hAnsi="Arial"/>
                <w:sz w:val="18"/>
                <w:szCs w:val="18"/>
                <w:color w:val="auto"/>
                <w:w w:val="88"/>
              </w:rPr>
              <w:t>58,857,400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Based on these results and consistent with the Company’s recommendation, the Company’s board of directors has determined that the Company will conduct future stockholder advisory votes on the compensation program for its named executive officers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360" w:type="dxa"/>
            <w:vAlign w:val="bottom"/>
            <w:gridSpan w:val="2"/>
          </w:tcPr>
          <w:p>
            <w:pPr>
              <w:ind w:left="152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3040" w:type="dxa"/>
            <w:vAlign w:val="bottom"/>
          </w:tcPr>
          <w:p>
            <w:pPr>
              <w:spacing w:after="0"/>
              <w:rPr>
                <w:sz w:val="20"/>
                <w:szCs w:val="20"/>
                <w:color w:val="auto"/>
              </w:rPr>
            </w:pPr>
            <w:r>
              <w:rPr>
                <w:rFonts w:ascii="Arial" w:cs="Arial" w:eastAsia="Arial" w:hAnsi="Arial"/>
                <w:sz w:val="18"/>
                <w:szCs w:val="18"/>
                <w:color w:val="auto"/>
              </w:rPr>
              <w:t>Dated: June 23, 2021</w:t>
            </w:r>
          </w:p>
        </w:tc>
        <w:tc>
          <w:tcPr>
            <w:tcW w:w="1800" w:type="dxa"/>
            <w:vAlign w:val="bottom"/>
          </w:tcPr>
          <w:p>
            <w:pPr>
              <w:ind w:left="1520"/>
              <w:spacing w:after="0"/>
              <w:rPr>
                <w:sz w:val="20"/>
                <w:szCs w:val="20"/>
                <w:color w:val="auto"/>
              </w:rPr>
            </w:pPr>
            <w:r>
              <w:rPr>
                <w:rFonts w:ascii="Arial" w:cs="Arial" w:eastAsia="Arial" w:hAnsi="Arial"/>
                <w:sz w:val="18"/>
                <w:szCs w:val="18"/>
                <w:color w:val="auto"/>
                <w:w w:val="99"/>
              </w:rPr>
              <w:t>By:</w:t>
            </w:r>
          </w:p>
        </w:tc>
        <w:tc>
          <w:tcPr>
            <w:tcW w:w="45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Aparna Bawa</w:t>
            </w:r>
          </w:p>
        </w:tc>
      </w:tr>
      <w:tr>
        <w:trPr>
          <w:trHeight w:val="222"/>
        </w:trPr>
        <w:tc>
          <w:tcPr>
            <w:tcW w:w="3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560" w:type="dxa"/>
            <w:vAlign w:val="bottom"/>
          </w:tcPr>
          <w:p>
            <w:pPr>
              <w:ind w:left="660"/>
              <w:spacing w:after="0"/>
              <w:rPr>
                <w:sz w:val="20"/>
                <w:szCs w:val="20"/>
                <w:color w:val="auto"/>
              </w:rPr>
            </w:pPr>
            <w:r>
              <w:rPr>
                <w:rFonts w:ascii="Arial" w:cs="Arial" w:eastAsia="Arial" w:hAnsi="Arial"/>
                <w:sz w:val="18"/>
                <w:szCs w:val="18"/>
                <w:color w:val="auto"/>
              </w:rPr>
              <w:t>Aparna Bawa</w:t>
            </w:r>
          </w:p>
        </w:tc>
      </w:tr>
      <w:tr>
        <w:trPr>
          <w:trHeight w:val="230"/>
        </w:trPr>
        <w:tc>
          <w:tcPr>
            <w:tcW w:w="3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560" w:type="dxa"/>
            <w:vAlign w:val="bottom"/>
          </w:tcPr>
          <w:p>
            <w:pPr>
              <w:ind w:left="660"/>
              <w:spacing w:after="0"/>
              <w:rPr>
                <w:sz w:val="20"/>
                <w:szCs w:val="20"/>
                <w:color w:val="auto"/>
              </w:rPr>
            </w:pPr>
            <w:r>
              <w:rPr>
                <w:rFonts w:ascii="Arial" w:cs="Arial" w:eastAsia="Arial" w:hAnsi="Arial"/>
                <w:sz w:val="18"/>
                <w:szCs w:val="18"/>
                <w:i w:val="1"/>
                <w:iCs w:val="1"/>
                <w:color w:val="auto"/>
              </w:rPr>
              <w:t>Chief Operating Officer</w:t>
            </w:r>
          </w:p>
        </w:tc>
      </w:tr>
    </w:tbl>
    <w:p>
      <w:pPr>
        <w:spacing w:after="0" w:line="1" w:lineRule="exact"/>
        <w:rPr>
          <w:sz w:val="20"/>
          <w:szCs w:val="20"/>
          <w:color w:val="auto"/>
        </w:rPr>
      </w:pPr>
    </w:p>
    <w:sectPr>
      <w:pgSz w:w="11900" w:h="16838" w:orient="portrait"/>
      <w:cols w:equalWidth="0" w:num="1">
        <w:col w:w="10940"/>
      </w:cols>
      <w:pgMar w:left="320" w:top="89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2021-06-23T15:36:41Z</dcterms:created>
  <dcterms:modified xsi:type="dcterms:W3CDTF">2021-06-23T15:36:41Z</dcterms:modified>
</cp:coreProperties>
</file>