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8"/>
        <w:gridCol w:w="4187"/>
      </w:tblGrid>
      <w:tr>
        <w:trPr/>
        <w:tc>
          <w:tcPr>
            <w:tcW w:w="6018" w:type="dxa"/>
            <w:tcBorders/>
            <w:vAlign w:val="center"/>
          </w:tcPr>
          <w:p>
            <w:pPr>
              <w:pStyle w:val="TableContents"/>
              <w:bidi w:val="0"/>
              <w:spacing w:before="0" w:after="283"/>
              <w:jc w:val="left"/>
              <w:rPr/>
            </w:pPr>
            <w:r>
              <w:rPr/>
              <w:t>Name of Issuer</w:t>
            </w:r>
          </w:p>
        </w:tc>
        <w:tc>
          <w:tcPr>
            <w:tcW w:w="4187" w:type="dxa"/>
            <w:tcBorders/>
            <w:vAlign w:val="center"/>
          </w:tcPr>
          <w:p>
            <w:pPr>
              <w:pStyle w:val="TableContents"/>
              <w:bidi w:val="0"/>
              <w:spacing w:before="0" w:after="0"/>
              <w:jc w:val="left"/>
              <w:rPr/>
            </w:pPr>
            <w:r>
              <w:rPr/>
              <w:t>Zoom Video Communications, Inc.</w:t>
            </w:r>
          </w:p>
        </w:tc>
      </w:tr>
      <w:tr>
        <w:trPr/>
        <w:tc>
          <w:tcPr>
            <w:tcW w:w="6018" w:type="dxa"/>
            <w:tcBorders/>
            <w:vAlign w:val="center"/>
          </w:tcPr>
          <w:p>
            <w:pPr>
              <w:pStyle w:val="TableContents"/>
              <w:bidi w:val="0"/>
              <w:spacing w:before="0" w:after="283"/>
              <w:jc w:val="left"/>
              <w:rPr/>
            </w:pPr>
            <w:r>
              <w:rPr/>
              <w:t>SEC File Number</w:t>
            </w:r>
          </w:p>
        </w:tc>
        <w:tc>
          <w:tcPr>
            <w:tcW w:w="4187" w:type="dxa"/>
            <w:tcBorders/>
            <w:vAlign w:val="center"/>
          </w:tcPr>
          <w:p>
            <w:pPr>
              <w:pStyle w:val="TableContents"/>
              <w:bidi w:val="0"/>
              <w:spacing w:before="0" w:after="0"/>
              <w:jc w:val="left"/>
              <w:rPr/>
            </w:pPr>
            <w:r>
              <w:rPr/>
              <w:t>001-38865</w:t>
            </w:r>
          </w:p>
        </w:tc>
      </w:tr>
      <w:tr>
        <w:trPr/>
        <w:tc>
          <w:tcPr>
            <w:tcW w:w="6018" w:type="dxa"/>
            <w:tcBorders/>
            <w:vAlign w:val="center"/>
          </w:tcPr>
          <w:p>
            <w:pPr>
              <w:pStyle w:val="TableContents"/>
              <w:bidi w:val="0"/>
              <w:spacing w:before="0" w:after="283"/>
              <w:jc w:val="left"/>
              <w:rPr/>
            </w:pPr>
            <w:r>
              <w:rPr/>
              <w:t>Address of Issuer</w:t>
            </w:r>
          </w:p>
        </w:tc>
        <w:tc>
          <w:tcPr>
            <w:tcW w:w="4187" w:type="dxa"/>
            <w:tcBorders/>
            <w:vAlign w:val="center"/>
          </w:tcPr>
          <w:p>
            <w:pPr>
              <w:pStyle w:val="TableContents"/>
              <w:bidi w:val="0"/>
              <w:spacing w:before="0" w:after="0"/>
              <w:jc w:val="left"/>
              <w:rPr/>
            </w:pPr>
            <w:r>
              <w:rPr/>
              <w:t>55 Almaden Blvd</w:t>
              <w:br/>
              <w:t>6th Floor</w:t>
              <w:br/>
              <w:t>San Jose</w:t>
              <w:br/>
              <w:t xml:space="preserve">CALIFORNIA </w:t>
              <w:br/>
              <w:t>95113</w:t>
            </w:r>
          </w:p>
        </w:tc>
      </w:tr>
      <w:tr>
        <w:trPr/>
        <w:tc>
          <w:tcPr>
            <w:tcW w:w="6018" w:type="dxa"/>
            <w:tcBorders/>
            <w:vAlign w:val="center"/>
          </w:tcPr>
          <w:p>
            <w:pPr>
              <w:pStyle w:val="TableContents"/>
              <w:bidi w:val="0"/>
              <w:spacing w:before="0" w:after="283"/>
              <w:jc w:val="left"/>
              <w:rPr/>
            </w:pPr>
            <w:r>
              <w:rPr/>
              <w:t>Phone</w:t>
            </w:r>
          </w:p>
        </w:tc>
        <w:tc>
          <w:tcPr>
            <w:tcW w:w="4187" w:type="dxa"/>
            <w:tcBorders/>
            <w:vAlign w:val="center"/>
          </w:tcPr>
          <w:p>
            <w:pPr>
              <w:pStyle w:val="TableContents"/>
              <w:bidi w:val="0"/>
              <w:spacing w:before="0" w:after="0"/>
              <w:jc w:val="left"/>
              <w:rPr/>
            </w:pPr>
            <w:r>
              <w:rPr/>
              <w:t>1-888-799-9666</w:t>
            </w:r>
          </w:p>
        </w:tc>
      </w:tr>
      <w:tr>
        <w:trPr/>
        <w:tc>
          <w:tcPr>
            <w:tcW w:w="6018" w:type="dxa"/>
            <w:tcBorders/>
            <w:vAlign w:val="center"/>
          </w:tcPr>
          <w:p>
            <w:pPr>
              <w:pStyle w:val="TableContents"/>
              <w:bidi w:val="0"/>
              <w:spacing w:before="0" w:after="283"/>
              <w:jc w:val="left"/>
              <w:rPr/>
            </w:pPr>
            <w:r>
              <w:rPr/>
              <w:t>Name of Person for Whose Account the Securities are To Be Sold</w:t>
            </w:r>
          </w:p>
        </w:tc>
        <w:tc>
          <w:tcPr>
            <w:tcW w:w="4187" w:type="dxa"/>
            <w:tcBorders/>
            <w:vAlign w:val="center"/>
          </w:tcPr>
          <w:p>
            <w:pPr>
              <w:pStyle w:val="TableContents"/>
              <w:bidi w:val="0"/>
              <w:spacing w:before="0" w:after="0"/>
              <w:jc w:val="left"/>
              <w:rPr/>
            </w:pPr>
            <w:r>
              <w:rPr/>
              <w:t>Eric Yuan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8" w:type="dxa"/>
            <w:tcBorders/>
            <w:vAlign w:val="center"/>
          </w:tcPr>
          <w:p>
            <w:pPr>
              <w:pStyle w:val="TableContents"/>
              <w:bidi w:val="0"/>
              <w:spacing w:before="0" w:after="283"/>
              <w:jc w:val="left"/>
              <w:rPr/>
            </w:pPr>
            <w:r>
              <w:rPr/>
              <w:t>Relationship to Issuer</w:t>
            </w:r>
          </w:p>
        </w:tc>
        <w:tc>
          <w:tcPr>
            <w:tcW w:w="4187" w:type="dxa"/>
            <w:tcBorders/>
            <w:vAlign w:val="center"/>
          </w:tcPr>
          <w:p>
            <w:pPr>
              <w:pStyle w:val="TableContents"/>
              <w:bidi w:val="0"/>
              <w:spacing w:before="0" w:after="0"/>
              <w:jc w:val="left"/>
              <w:rPr/>
            </w:pPr>
            <w:r>
              <w:rPr/>
              <w:t>Other: 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42483</w:t>
            </w:r>
          </w:p>
        </w:tc>
        <w:tc>
          <w:tcPr>
            <w:tcW w:w="1467" w:type="dxa"/>
            <w:tcBorders/>
            <w:vAlign w:val="center"/>
          </w:tcPr>
          <w:p>
            <w:pPr>
              <w:pStyle w:val="TableContents"/>
              <w:bidi w:val="0"/>
              <w:spacing w:before="0" w:after="283"/>
              <w:jc w:val="left"/>
              <w:rPr/>
            </w:pPr>
            <w:r>
              <w:rPr/>
              <w:t>2712539.55</w:t>
            </w:r>
          </w:p>
        </w:tc>
        <w:tc>
          <w:tcPr>
            <w:tcW w:w="1556" w:type="dxa"/>
            <w:tcBorders/>
            <w:vAlign w:val="center"/>
          </w:tcPr>
          <w:p>
            <w:pPr>
              <w:pStyle w:val="TableContents"/>
              <w:bidi w:val="0"/>
              <w:spacing w:before="0" w:after="283"/>
              <w:jc w:val="left"/>
              <w:rPr/>
            </w:pPr>
            <w:r>
              <w:rPr/>
              <w:t>260899571</w:t>
            </w:r>
          </w:p>
        </w:tc>
        <w:tc>
          <w:tcPr>
            <w:tcW w:w="1569" w:type="dxa"/>
            <w:tcBorders/>
            <w:vAlign w:val="center"/>
          </w:tcPr>
          <w:p>
            <w:pPr>
              <w:pStyle w:val="TableContents"/>
              <w:bidi w:val="0"/>
              <w:spacing w:before="0" w:after="283"/>
              <w:jc w:val="left"/>
              <w:rPr/>
            </w:pPr>
            <w:r>
              <w:rPr/>
              <w:t>04/10/2024</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04/06/2024</w:t>
            </w:r>
          </w:p>
        </w:tc>
        <w:tc>
          <w:tcPr>
            <w:tcW w:w="1541" w:type="dxa"/>
            <w:tcBorders/>
            <w:vAlign w:val="center"/>
          </w:tcPr>
          <w:p>
            <w:pPr>
              <w:pStyle w:val="TableContents"/>
              <w:bidi w:val="0"/>
              <w:spacing w:before="0" w:after="283"/>
              <w:jc w:val="left"/>
              <w:rPr/>
            </w:pPr>
            <w:r>
              <w:rPr/>
              <w:t>Acquired as Compensation -- Restricted Stock Units</w:t>
            </w:r>
          </w:p>
        </w:tc>
        <w:tc>
          <w:tcPr>
            <w:tcW w:w="1131" w:type="dxa"/>
            <w:tcBorders/>
            <w:vAlign w:val="center"/>
          </w:tcPr>
          <w:p>
            <w:pPr>
              <w:pStyle w:val="TableContents"/>
              <w:bidi w:val="0"/>
              <w:spacing w:before="0" w:after="283"/>
              <w:jc w:val="left"/>
              <w:rPr/>
            </w:pPr>
            <w:r>
              <w:rPr/>
              <w:t>The 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6739</w:t>
            </w:r>
          </w:p>
        </w:tc>
        <w:tc>
          <w:tcPr>
            <w:tcW w:w="1036" w:type="dxa"/>
            <w:tcBorders/>
            <w:vAlign w:val="center"/>
          </w:tcPr>
          <w:p>
            <w:pPr>
              <w:pStyle w:val="TableContents"/>
              <w:bidi w:val="0"/>
              <w:spacing w:before="0" w:after="283"/>
              <w:jc w:val="left"/>
              <w:rPr/>
            </w:pPr>
            <w:r>
              <w:rPr/>
              <w:t>04/06/2024</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01/08/2023</w:t>
            </w:r>
          </w:p>
        </w:tc>
        <w:tc>
          <w:tcPr>
            <w:tcW w:w="1541" w:type="dxa"/>
            <w:tcBorders/>
            <w:vAlign w:val="center"/>
          </w:tcPr>
          <w:p>
            <w:pPr>
              <w:pStyle w:val="TableContents"/>
              <w:bidi w:val="0"/>
              <w:spacing w:before="0" w:after="283"/>
              <w:jc w:val="left"/>
              <w:rPr/>
            </w:pPr>
            <w:r>
              <w:rPr/>
              <w:t>Acquired as Compensation -- Restricted Stock Units</w:t>
            </w:r>
          </w:p>
        </w:tc>
        <w:tc>
          <w:tcPr>
            <w:tcW w:w="1131" w:type="dxa"/>
            <w:tcBorders/>
            <w:vAlign w:val="center"/>
          </w:tcPr>
          <w:p>
            <w:pPr>
              <w:pStyle w:val="TableContents"/>
              <w:bidi w:val="0"/>
              <w:spacing w:before="0" w:after="283"/>
              <w:jc w:val="left"/>
              <w:rPr/>
            </w:pPr>
            <w:r>
              <w:rPr/>
              <w:t>The 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15401</w:t>
            </w:r>
          </w:p>
        </w:tc>
        <w:tc>
          <w:tcPr>
            <w:tcW w:w="1036" w:type="dxa"/>
            <w:tcBorders/>
            <w:vAlign w:val="center"/>
          </w:tcPr>
          <w:p>
            <w:pPr>
              <w:pStyle w:val="TableContents"/>
              <w:bidi w:val="0"/>
              <w:spacing w:before="0" w:after="283"/>
              <w:jc w:val="left"/>
              <w:rPr/>
            </w:pPr>
            <w:r>
              <w:rPr/>
              <w:t>01/08/2023</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04/08/2023</w:t>
            </w:r>
          </w:p>
        </w:tc>
        <w:tc>
          <w:tcPr>
            <w:tcW w:w="1541" w:type="dxa"/>
            <w:tcBorders/>
            <w:vAlign w:val="center"/>
          </w:tcPr>
          <w:p>
            <w:pPr>
              <w:pStyle w:val="TableContents"/>
              <w:bidi w:val="0"/>
              <w:spacing w:before="0" w:after="283"/>
              <w:jc w:val="left"/>
              <w:rPr/>
            </w:pPr>
            <w:r>
              <w:rPr/>
              <w:t>Acquired as Compensation -- Restricted Stock Units</w:t>
            </w:r>
          </w:p>
        </w:tc>
        <w:tc>
          <w:tcPr>
            <w:tcW w:w="1131" w:type="dxa"/>
            <w:tcBorders/>
            <w:vAlign w:val="center"/>
          </w:tcPr>
          <w:p>
            <w:pPr>
              <w:pStyle w:val="TableContents"/>
              <w:bidi w:val="0"/>
              <w:spacing w:before="0" w:after="283"/>
              <w:jc w:val="left"/>
              <w:rPr/>
            </w:pPr>
            <w:r>
              <w:rPr/>
              <w:t>The 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1539</w:t>
            </w:r>
          </w:p>
        </w:tc>
        <w:tc>
          <w:tcPr>
            <w:tcW w:w="1036" w:type="dxa"/>
            <w:tcBorders/>
            <w:vAlign w:val="center"/>
          </w:tcPr>
          <w:p>
            <w:pPr>
              <w:pStyle w:val="TableContents"/>
              <w:bidi w:val="0"/>
              <w:spacing w:before="0" w:after="283"/>
              <w:jc w:val="left"/>
              <w:rPr/>
            </w:pPr>
            <w:r>
              <w:rPr/>
              <w:t>04/08/2023</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04/08/2024</w:t>
            </w:r>
          </w:p>
        </w:tc>
        <w:tc>
          <w:tcPr>
            <w:tcW w:w="1541" w:type="dxa"/>
            <w:tcBorders/>
            <w:vAlign w:val="center"/>
          </w:tcPr>
          <w:p>
            <w:pPr>
              <w:pStyle w:val="TableContents"/>
              <w:bidi w:val="0"/>
              <w:spacing w:before="0" w:after="283"/>
              <w:jc w:val="left"/>
              <w:rPr/>
            </w:pPr>
            <w:r>
              <w:rPr/>
              <w:t>Acquired as Compensation -- Restricted Stock Units</w:t>
            </w:r>
          </w:p>
        </w:tc>
        <w:tc>
          <w:tcPr>
            <w:tcW w:w="1131" w:type="dxa"/>
            <w:tcBorders/>
            <w:vAlign w:val="center"/>
          </w:tcPr>
          <w:p>
            <w:pPr>
              <w:pStyle w:val="TableContents"/>
              <w:bidi w:val="0"/>
              <w:spacing w:before="0" w:after="283"/>
              <w:jc w:val="left"/>
              <w:rPr/>
            </w:pPr>
            <w:r>
              <w:rPr/>
              <w:t>The 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18804</w:t>
            </w:r>
          </w:p>
        </w:tc>
        <w:tc>
          <w:tcPr>
            <w:tcW w:w="1036" w:type="dxa"/>
            <w:tcBorders/>
            <w:vAlign w:val="center"/>
          </w:tcPr>
          <w:p>
            <w:pPr>
              <w:pStyle w:val="TableContents"/>
              <w:bidi w:val="0"/>
              <w:spacing w:before="0" w:after="283"/>
              <w:jc w:val="left"/>
              <w:rPr/>
            </w:pPr>
            <w:r>
              <w:rPr/>
              <w:t>04/08/2024</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01/10/2024</w:t>
            </w:r>
          </w:p>
        </w:tc>
        <w:tc>
          <w:tcPr>
            <w:tcW w:w="1556" w:type="dxa"/>
            <w:tcBorders/>
            <w:vAlign w:val="center"/>
          </w:tcPr>
          <w:p>
            <w:pPr>
              <w:pStyle w:val="TableContents"/>
              <w:bidi w:val="0"/>
              <w:spacing w:before="0" w:after="283"/>
              <w:jc w:val="left"/>
              <w:rPr/>
            </w:pPr>
            <w:r>
              <w:rPr/>
              <w:t>2421</w:t>
            </w:r>
          </w:p>
        </w:tc>
        <w:tc>
          <w:tcPr>
            <w:tcW w:w="1839" w:type="dxa"/>
            <w:tcBorders/>
            <w:vAlign w:val="center"/>
          </w:tcPr>
          <w:p>
            <w:pPr>
              <w:pStyle w:val="TableContents"/>
              <w:bidi w:val="0"/>
              <w:spacing w:before="0" w:after="283"/>
              <w:jc w:val="left"/>
              <w:rPr/>
            </w:pPr>
            <w:r>
              <w:rPr/>
              <w:t>164621.95</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01/10/2024</w:t>
            </w:r>
          </w:p>
        </w:tc>
        <w:tc>
          <w:tcPr>
            <w:tcW w:w="1556" w:type="dxa"/>
            <w:tcBorders/>
            <w:vAlign w:val="center"/>
          </w:tcPr>
          <w:p>
            <w:pPr>
              <w:pStyle w:val="TableContents"/>
              <w:bidi w:val="0"/>
              <w:spacing w:before="0" w:after="283"/>
              <w:jc w:val="left"/>
              <w:rPr/>
            </w:pPr>
            <w:r>
              <w:rPr/>
              <w:t>21119</w:t>
            </w:r>
          </w:p>
        </w:tc>
        <w:tc>
          <w:tcPr>
            <w:tcW w:w="1839" w:type="dxa"/>
            <w:tcBorders/>
            <w:vAlign w:val="center"/>
          </w:tcPr>
          <w:p>
            <w:pPr>
              <w:pStyle w:val="TableContents"/>
              <w:bidi w:val="0"/>
              <w:spacing w:before="0" w:after="283"/>
              <w:jc w:val="left"/>
              <w:rPr/>
            </w:pPr>
            <w:r>
              <w:rPr/>
              <w:t>1436024.42</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02/05/2024</w:t>
            </w:r>
          </w:p>
        </w:tc>
        <w:tc>
          <w:tcPr>
            <w:tcW w:w="1556" w:type="dxa"/>
            <w:tcBorders/>
            <w:vAlign w:val="center"/>
          </w:tcPr>
          <w:p>
            <w:pPr>
              <w:pStyle w:val="TableContents"/>
              <w:bidi w:val="0"/>
              <w:spacing w:before="0" w:after="283"/>
              <w:jc w:val="left"/>
              <w:rPr/>
            </w:pPr>
            <w:r>
              <w:rPr/>
              <w:t>2421</w:t>
            </w:r>
          </w:p>
        </w:tc>
        <w:tc>
          <w:tcPr>
            <w:tcW w:w="1839" w:type="dxa"/>
            <w:tcBorders/>
            <w:vAlign w:val="center"/>
          </w:tcPr>
          <w:p>
            <w:pPr>
              <w:pStyle w:val="TableContents"/>
              <w:bidi w:val="0"/>
              <w:spacing w:before="0" w:after="283"/>
              <w:jc w:val="left"/>
              <w:rPr/>
            </w:pPr>
            <w:r>
              <w:rPr/>
              <w:t>154186.23</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02/06/2024</w:t>
            </w:r>
          </w:p>
        </w:tc>
        <w:tc>
          <w:tcPr>
            <w:tcW w:w="1556" w:type="dxa"/>
            <w:tcBorders/>
            <w:vAlign w:val="center"/>
          </w:tcPr>
          <w:p>
            <w:pPr>
              <w:pStyle w:val="TableContents"/>
              <w:bidi w:val="0"/>
              <w:spacing w:before="0" w:after="283"/>
              <w:jc w:val="left"/>
              <w:rPr/>
            </w:pPr>
            <w:r>
              <w:rPr/>
              <w:t>2421</w:t>
            </w:r>
          </w:p>
        </w:tc>
        <w:tc>
          <w:tcPr>
            <w:tcW w:w="1839" w:type="dxa"/>
            <w:tcBorders/>
            <w:vAlign w:val="center"/>
          </w:tcPr>
          <w:p>
            <w:pPr>
              <w:pStyle w:val="TableContents"/>
              <w:bidi w:val="0"/>
              <w:spacing w:before="0" w:after="283"/>
              <w:jc w:val="left"/>
              <w:rPr/>
            </w:pPr>
            <w:r>
              <w:rPr/>
              <w:t>154038.55</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03/04/2024</w:t>
            </w:r>
          </w:p>
        </w:tc>
        <w:tc>
          <w:tcPr>
            <w:tcW w:w="1556" w:type="dxa"/>
            <w:tcBorders/>
            <w:vAlign w:val="center"/>
          </w:tcPr>
          <w:p>
            <w:pPr>
              <w:pStyle w:val="TableContents"/>
              <w:bidi w:val="0"/>
              <w:spacing w:before="0" w:after="283"/>
              <w:jc w:val="left"/>
              <w:rPr/>
            </w:pPr>
            <w:r>
              <w:rPr/>
              <w:t>2420</w:t>
            </w:r>
          </w:p>
        </w:tc>
        <w:tc>
          <w:tcPr>
            <w:tcW w:w="1839" w:type="dxa"/>
            <w:tcBorders/>
            <w:vAlign w:val="center"/>
          </w:tcPr>
          <w:p>
            <w:pPr>
              <w:pStyle w:val="TableContents"/>
              <w:bidi w:val="0"/>
              <w:spacing w:before="0" w:after="283"/>
              <w:jc w:val="left"/>
              <w:rPr/>
            </w:pPr>
            <w:r>
              <w:rPr/>
              <w:t>169024.66</w:t>
            </w:r>
          </w:p>
        </w:tc>
      </w:tr>
      <w:tr>
        <w:trPr/>
        <w:tc>
          <w:tcPr>
            <w:tcW w:w="2951" w:type="dxa"/>
            <w:tcBorders/>
            <w:vAlign w:val="center"/>
          </w:tcPr>
          <w:p>
            <w:pPr>
              <w:pStyle w:val="TableContents"/>
              <w:bidi w:val="0"/>
              <w:spacing w:before="0" w:after="283"/>
              <w:jc w:val="left"/>
              <w:rPr/>
            </w:pPr>
            <w:r>
              <w:rPr/>
              <w:t>The 2018 Yuan and Zhang Revocable Trust</w:t>
              <w:br/>
              <w:t>55 Almaden Blvd</w:t>
              <w:br/>
              <w:t>6th Floor</w:t>
              <w:br/>
              <w:t>San Jose   CA   95113</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03/05/2024</w:t>
            </w:r>
          </w:p>
        </w:tc>
        <w:tc>
          <w:tcPr>
            <w:tcW w:w="1556" w:type="dxa"/>
            <w:tcBorders/>
            <w:vAlign w:val="center"/>
          </w:tcPr>
          <w:p>
            <w:pPr>
              <w:pStyle w:val="TableContents"/>
              <w:bidi w:val="0"/>
              <w:spacing w:before="0" w:after="283"/>
              <w:jc w:val="left"/>
              <w:rPr/>
            </w:pPr>
            <w:r>
              <w:rPr/>
              <w:t>2420</w:t>
            </w:r>
          </w:p>
        </w:tc>
        <w:tc>
          <w:tcPr>
            <w:tcW w:w="1839" w:type="dxa"/>
            <w:tcBorders/>
            <w:vAlign w:val="center"/>
          </w:tcPr>
          <w:p>
            <w:pPr>
              <w:pStyle w:val="TableContents"/>
              <w:bidi w:val="0"/>
              <w:spacing w:before="0" w:after="283"/>
              <w:jc w:val="left"/>
              <w:rPr/>
            </w:pPr>
            <w:r>
              <w:rPr/>
              <w:t>162173.15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22"/>
        <w:gridCol w:w="7083"/>
      </w:tblGrid>
      <w:tr>
        <w:trPr/>
        <w:tc>
          <w:tcPr>
            <w:tcW w:w="3122" w:type="dxa"/>
            <w:tcBorders/>
            <w:vAlign w:val="center"/>
          </w:tcPr>
          <w:p>
            <w:pPr>
              <w:pStyle w:val="TableContents"/>
              <w:bidi w:val="0"/>
              <w:spacing w:before="0" w:after="283"/>
              <w:jc w:val="left"/>
              <w:rPr/>
            </w:pPr>
            <w:r>
              <w:rPr/>
              <w:t>Remarks</w:t>
            </w:r>
          </w:p>
        </w:tc>
        <w:tc>
          <w:tcPr>
            <w:tcW w:w="7083" w:type="dxa"/>
            <w:tcBorders/>
            <w:vAlign w:val="center"/>
          </w:tcPr>
          <w:p>
            <w:pPr>
              <w:pStyle w:val="TableContents"/>
              <w:bidi w:val="0"/>
              <w:spacing w:before="0" w:after="0"/>
              <w:jc w:val="left"/>
              <w:rPr/>
            </w:pPr>
            <w:r>
              <w:rPr/>
              <w:t>The sales of shares set forth herein are made in connection with a selling plan dated June 15th, 2023 that is intended to comply with Rule 10b5-1(c). All shares to be sold by The 2018 Yuan and Zhang Revocable Trust.</w:t>
            </w:r>
          </w:p>
        </w:tc>
      </w:tr>
      <w:tr>
        <w:trPr/>
        <w:tc>
          <w:tcPr>
            <w:tcW w:w="3122" w:type="dxa"/>
            <w:tcBorders/>
            <w:vAlign w:val="center"/>
          </w:tcPr>
          <w:p>
            <w:pPr>
              <w:pStyle w:val="TableContents"/>
              <w:bidi w:val="0"/>
              <w:spacing w:before="0" w:after="283"/>
              <w:jc w:val="left"/>
              <w:rPr/>
            </w:pPr>
            <w:r>
              <w:rPr/>
              <w:t>Date of Notice</w:t>
            </w:r>
          </w:p>
        </w:tc>
        <w:tc>
          <w:tcPr>
            <w:tcW w:w="7083" w:type="dxa"/>
            <w:tcBorders/>
            <w:vAlign w:val="center"/>
          </w:tcPr>
          <w:p>
            <w:pPr>
              <w:pStyle w:val="TableContents"/>
              <w:bidi w:val="0"/>
              <w:spacing w:before="0" w:after="0"/>
              <w:jc w:val="left"/>
              <w:rPr/>
            </w:pPr>
            <w:r>
              <w:rPr/>
              <w:t>04/10/2024</w:t>
            </w:r>
          </w:p>
        </w:tc>
      </w:tr>
      <w:tr>
        <w:trPr/>
        <w:tc>
          <w:tcPr>
            <w:tcW w:w="3122" w:type="dxa"/>
            <w:tcBorders/>
            <w:vAlign w:val="center"/>
          </w:tcPr>
          <w:p>
            <w:pPr>
              <w:pStyle w:val="TableContents"/>
              <w:bidi w:val="0"/>
              <w:spacing w:before="0" w:after="283"/>
              <w:jc w:val="left"/>
              <w:rPr/>
            </w:pPr>
            <w:r>
              <w:rPr/>
              <w:t>Date of Plan Adoption or Giving of Instruction, If Relying on Rule 10b5-1</w:t>
            </w:r>
          </w:p>
        </w:tc>
        <w:tc>
          <w:tcPr>
            <w:tcW w:w="7083" w:type="dxa"/>
            <w:tcBorders/>
            <w:vAlign w:val="center"/>
          </w:tcPr>
          <w:p>
            <w:pPr>
              <w:pStyle w:val="TableContents"/>
              <w:bidi w:val="0"/>
              <w:spacing w:before="0" w:after="0"/>
              <w:jc w:val="left"/>
              <w:rPr/>
            </w:pPr>
            <w:r>
              <w:rPr/>
              <w:t>06/15/2023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22" w:type="dxa"/>
            <w:tcBorders/>
            <w:vAlign w:val="center"/>
          </w:tcPr>
          <w:p>
            <w:pPr>
              <w:pStyle w:val="TableContents"/>
              <w:bidi w:val="0"/>
              <w:spacing w:before="0" w:after="283"/>
              <w:jc w:val="left"/>
              <w:rPr/>
            </w:pPr>
            <w:r>
              <w:rPr/>
              <w:t>Signature</w:t>
            </w:r>
          </w:p>
        </w:tc>
        <w:tc>
          <w:tcPr>
            <w:tcW w:w="7083" w:type="dxa"/>
            <w:tcBorders/>
            <w:vAlign w:val="center"/>
          </w:tcPr>
          <w:p>
            <w:pPr>
              <w:pStyle w:val="TableContents"/>
              <w:bidi w:val="0"/>
              <w:spacing w:before="0" w:after="0"/>
              <w:jc w:val="left"/>
              <w:rPr/>
            </w:pPr>
            <w:r>
              <w:rPr/>
              <w:t>Goldman Sachs &amp; Co. LLC on behalf of Eric Yuan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4260</Characters>
  <CharactersWithSpaces>5025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