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436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3623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0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12/10/2021</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600" w:type="dxa"/>
            <w:vAlign w:val="bottom"/>
          </w:tcPr>
          <w:p>
            <w:pPr>
              <w:jc w:val="right"/>
              <w:ind w:right="32"/>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2"/>
          </w:tcPr>
          <w:p>
            <w:pPr>
              <w:ind w:left="820"/>
              <w:spacing w:after="0"/>
              <w:rPr>
                <w:sz w:val="20"/>
                <w:szCs w:val="20"/>
                <w:color w:val="auto"/>
              </w:rPr>
            </w:pPr>
            <w:r>
              <w:rPr>
                <w:rFonts w:ascii="Arial" w:cs="Arial" w:eastAsia="Arial" w:hAnsi="Arial"/>
                <w:sz w:val="17"/>
                <w:szCs w:val="17"/>
                <w:color w:val="0000FF"/>
              </w:rPr>
              <w:t>12/10/2021</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19"/>
              <w:spacing w:after="0"/>
              <w:rPr>
                <w:sz w:val="20"/>
                <w:szCs w:val="20"/>
                <w:color w:val="auto"/>
              </w:rPr>
            </w:pPr>
            <w:r>
              <w:rPr>
                <w:rFonts w:ascii="Arial" w:cs="Arial" w:eastAsia="Arial" w:hAnsi="Arial"/>
                <w:sz w:val="13"/>
                <w:szCs w:val="13"/>
                <w:color w:val="0000FF"/>
                <w:w w:val="91"/>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21,875</w:t>
            </w:r>
          </w:p>
        </w:tc>
        <w:tc>
          <w:tcPr>
            <w:tcW w:w="40" w:type="dxa"/>
            <w:vAlign w:val="bottom"/>
          </w:tcPr>
          <w:p>
            <w:pPr>
              <w:spacing w:after="0"/>
              <w:rPr>
                <w:sz w:val="22"/>
                <w:szCs w:val="22"/>
                <w:color w:val="auto"/>
              </w:rPr>
            </w:pPr>
          </w:p>
        </w:tc>
        <w:tc>
          <w:tcPr>
            <w:tcW w:w="600" w:type="dxa"/>
            <w:vAlign w:val="bottom"/>
          </w:tcPr>
          <w:p>
            <w:pPr>
              <w:jc w:val="right"/>
              <w:ind w:right="112"/>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58,008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12/10/2021</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11,216</w:t>
            </w:r>
            <w:r>
              <w:rPr>
                <w:rFonts w:ascii="Arial" w:cs="Arial" w:eastAsia="Arial" w:hAnsi="Arial"/>
                <w:sz w:val="21"/>
                <w:szCs w:val="21"/>
                <w:color w:val="008000"/>
                <w:vertAlign w:val="superscript"/>
              </w:rPr>
              <w:t>(1)</w:t>
            </w:r>
          </w:p>
        </w:tc>
        <w:tc>
          <w:tcPr>
            <w:tcW w:w="60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188.27</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46,792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37"/>
              <w:spacing w:after="0" w:line="129" w:lineRule="exact"/>
              <w:rPr>
                <w:sz w:val="20"/>
                <w:szCs w:val="20"/>
                <w:color w:val="auto"/>
              </w:rPr>
            </w:pPr>
            <w:r>
              <w:rPr>
                <w:rFonts w:ascii="Arial" w:cs="Arial" w:eastAsia="Arial" w:hAnsi="Arial"/>
                <w:sz w:val="12"/>
                <w:szCs w:val="12"/>
                <w:b w:val="1"/>
                <w:bCs w:val="1"/>
                <w:color w:val="auto"/>
                <w:w w:val="98"/>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(3)</w:t>
            </w:r>
          </w:p>
        </w:tc>
        <w:tc>
          <w:tcPr>
            <w:tcW w:w="4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21,875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12/10/2021</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Arial" w:cs="Arial" w:eastAsia="Arial" w:hAnsi="Arial"/>
                <w:sz w:val="13"/>
                <w:szCs w:val="13"/>
                <w:color w:val="0000FF"/>
              </w:rPr>
              <w:t>21,875</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jc w:val="right"/>
              <w:ind w:right="202"/>
              <w:spacing w:after="0" w:line="142" w:lineRule="exact"/>
              <w:rPr>
                <w:sz w:val="20"/>
                <w:szCs w:val="20"/>
                <w:color w:val="auto"/>
              </w:rPr>
            </w:pPr>
            <w:r>
              <w:rPr>
                <w:rFonts w:ascii="Arial" w:cs="Arial" w:eastAsia="Arial" w:hAnsi="Arial"/>
                <w:sz w:val="13"/>
                <w:szCs w:val="13"/>
                <w:color w:val="0000FF"/>
              </w:rPr>
              <w:t>153,125</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ind w:right="17"/>
              <w:spacing w:after="0"/>
              <w:rPr>
                <w:sz w:val="20"/>
                <w:szCs w:val="20"/>
                <w:color w:val="auto"/>
              </w:rPr>
            </w:pPr>
            <w:r>
              <w:rPr>
                <w:rFonts w:ascii="Arial" w:cs="Arial" w:eastAsia="Arial" w:hAnsi="Arial"/>
                <w:sz w:val="11"/>
                <w:szCs w:val="11"/>
                <w:color w:val="008000"/>
                <w:w w:val="88"/>
              </w:rPr>
              <w:t>(4)</w:t>
            </w:r>
          </w:p>
        </w:tc>
        <w:tc>
          <w:tcPr>
            <w:tcW w:w="4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92"/>
              <w:spacing w:after="0"/>
              <w:rPr>
                <w:sz w:val="20"/>
                <w:szCs w:val="20"/>
                <w:color w:val="auto"/>
              </w:rPr>
            </w:pPr>
            <w:r>
              <w:rPr>
                <w:rFonts w:ascii="Arial" w:cs="Arial" w:eastAsia="Arial" w:hAnsi="Arial"/>
                <w:sz w:val="17"/>
                <w:szCs w:val="17"/>
                <w:color w:val="0000FF"/>
              </w:rPr>
              <w:t>225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ind w:right="41"/>
              <w:spacing w:after="0" w:line="142" w:lineRule="exact"/>
              <w:rPr>
                <w:sz w:val="20"/>
                <w:szCs w:val="20"/>
                <w:color w:val="auto"/>
              </w:rPr>
            </w:pPr>
            <w:r>
              <w:rPr>
                <w:rFonts w:ascii="Arial" w:cs="Arial" w:eastAsia="Arial" w:hAnsi="Arial"/>
                <w:sz w:val="13"/>
                <w:szCs w:val="13"/>
                <w:color w:val="0000FF"/>
              </w:rPr>
              <w:t>225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40" w:right="72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September 10, 2020 and the remaining units will vest in equal quarterly installments thereafter, subject to theReporting Person's Continuous Service (as defined in the Issuer's 2019 Equity Incentive Plan) on each such vesting date. The restricted stock units are subject to accelerated vesting in the event of a termination of employment of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12/14/2021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2021-12-14T18:32:27Z</dcterms:created>
  <dcterms:modified xsi:type="dcterms:W3CDTF">2021-12-14T18:32:27Z</dcterms:modified>
</cp:coreProperties>
</file>