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6995160" cy="71970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7197090"/>
                    </a:xfrm>
                    <a:prstGeom prst="rect">
                      <a:avLst/>
                    </a:prstGeom>
                    <a:noFill/>
                  </pic:spPr>
                </pic:pic>
              </a:graphicData>
            </a:graphic>
          </wp:anchor>
        </w:drawing>
      </w:r>
    </w:p>
    <w:p>
      <w:pPr>
        <w:spacing w:after="0" w:line="1204" w:lineRule="exact"/>
        <w:rPr>
          <w:sz w:val="24"/>
          <w:szCs w:val="24"/>
          <w:color w:val="auto"/>
        </w:rPr>
      </w:pPr>
    </w:p>
    <w:p>
      <w:pPr>
        <w:sectPr>
          <w:pgSz w:w="11900" w:h="16871" w:orient="portrait"/>
          <w:cols w:equalWidth="0" w:num="2">
            <w:col w:w="2300" w:space="320"/>
            <w:col w:w="8460"/>
          </w:cols>
          <w:pgMar w:left="460" w:top="216" w:right="359" w:bottom="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Steckelberg Kelly</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line="372"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SAN JOSE</w:t>
      </w:r>
      <w:r>
        <w:rPr>
          <w:sz w:val="20"/>
          <w:szCs w:val="20"/>
          <w:color w:val="auto"/>
        </w:rPr>
        <w:tab/>
      </w:r>
      <w:r>
        <w:rPr>
          <w:rFonts w:ascii="Times New Roman" w:cs="Times New Roman" w:eastAsia="Times New Roman" w:hAnsi="Times New Roman"/>
          <w:sz w:val="17"/>
          <w:szCs w:val="17"/>
          <w:color w:val="0000FF"/>
        </w:rPr>
        <w:t>CA</w:t>
      </w:r>
      <w:r>
        <w:rPr>
          <w:sz w:val="20"/>
          <w:szCs w:val="20"/>
          <w:color w:val="auto"/>
        </w:rPr>
        <w:tab/>
      </w:r>
      <w:r>
        <w:rPr>
          <w:rFonts w:ascii="Times New Roman" w:cs="Times New Roman" w:eastAsia="Times New Roman" w:hAnsi="Times New Roman"/>
          <w:sz w:val="16"/>
          <w:szCs w:val="16"/>
          <w:color w:val="0000FF"/>
        </w:rPr>
        <w:t>95113</w:t>
      </w:r>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Zoom Video Communications,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ZM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740" w:type="dxa"/>
            <w:vAlign w:val="bottom"/>
            <w:tcBorders>
              <w:bottom w:val="single" w:sz="8" w:color="0000EE"/>
            </w:tcBorders>
          </w:tcPr>
          <w:p>
            <w:pPr>
              <w:spacing w:after="0"/>
              <w:rPr>
                <w:sz w:val="3"/>
                <w:szCs w:val="3"/>
                <w:color w:val="auto"/>
              </w:rPr>
            </w:pPr>
          </w:p>
        </w:tc>
        <w:tc>
          <w:tcPr>
            <w:tcW w:w="9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1"/>
        </w:trPr>
        <w:tc>
          <w:tcPr>
            <w:tcW w:w="6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274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16"/>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200" w:type="dxa"/>
            <w:vAlign w:val="bottom"/>
            <w:gridSpan w:val="2"/>
            <w:vMerge w:val="continue"/>
          </w:tcPr>
          <w:p>
            <w:pPr>
              <w:spacing w:after="0"/>
              <w:rPr>
                <w:sz w:val="5"/>
                <w:szCs w:val="5"/>
                <w:color w:val="auto"/>
              </w:rPr>
            </w:pPr>
          </w:p>
        </w:tc>
        <w:tc>
          <w:tcPr>
            <w:tcW w:w="36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3100" w:type="dxa"/>
            <w:vAlign w:val="bottom"/>
            <w:gridSpan w:val="2"/>
            <w:vMerge w:val="restart"/>
          </w:tcPr>
          <w:p>
            <w:pPr>
              <w:ind w:left="68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215"/>
        </w:trPr>
        <w:tc>
          <w:tcPr>
            <w:tcW w:w="29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08/21/2024</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2"/>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85" w:lineRule="exact"/>
        <w:rPr>
          <w:sz w:val="24"/>
          <w:szCs w:val="24"/>
          <w:color w:val="auto"/>
        </w:rPr>
      </w:pPr>
    </w:p>
    <w:p>
      <w:pPr>
        <w:sectPr>
          <w:pgSz w:w="11900" w:h="16871" w:orient="portrait"/>
          <w:cols w:equalWidth="0" w:num="2">
            <w:col w:w="3440" w:space="40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gridSpan w:val="2"/>
          </w:tcPr>
          <w:p>
            <w:pPr>
              <w:ind w:left="600"/>
              <w:spacing w:after="0"/>
              <w:rPr>
                <w:sz w:val="20"/>
                <w:szCs w:val="20"/>
                <w:color w:val="auto"/>
              </w:rPr>
            </w:pPr>
            <w:r>
              <w:rPr>
                <w:rFonts w:ascii="Arial" w:cs="Arial" w:eastAsia="Arial" w:hAnsi="Arial"/>
                <w:sz w:val="11"/>
                <w:szCs w:val="11"/>
                <w:b w:val="1"/>
                <w:bCs w:val="1"/>
                <w:color w:val="auto"/>
              </w:rPr>
              <w:t>2. Transaction</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2A. Deemed</w:t>
            </w:r>
          </w:p>
        </w:tc>
        <w:tc>
          <w:tcPr>
            <w:tcW w:w="34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80" w:type="dxa"/>
            <w:vAlign w:val="bottom"/>
            <w:gridSpan w:val="4"/>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60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spacing w:after="0"/>
              <w:rPr>
                <w:sz w:val="10"/>
                <w:szCs w:val="10"/>
                <w:color w:val="auto"/>
              </w:rPr>
            </w:pPr>
          </w:p>
        </w:tc>
        <w:tc>
          <w:tcPr>
            <w:tcW w:w="1020" w:type="dxa"/>
            <w:vAlign w:val="bottom"/>
            <w:gridSpan w:val="3"/>
          </w:tcPr>
          <w:p>
            <w:pPr>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080" w:type="dxa"/>
            <w:vAlign w:val="bottom"/>
            <w:gridSpan w:val="4"/>
          </w:tcPr>
          <w:p>
            <w:pPr>
              <w:ind w:left="4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60" w:type="dxa"/>
            <w:vAlign w:val="bottom"/>
            <w:gridSpan w:val="2"/>
          </w:tcPr>
          <w:p>
            <w:pPr>
              <w:ind w:left="60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if any</w:t>
            </w:r>
          </w:p>
        </w:tc>
        <w:tc>
          <w:tcPr>
            <w:tcW w:w="34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8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7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gridSpan w:val="2"/>
          </w:tcPr>
          <w:p>
            <w:pPr>
              <w:ind w:left="700"/>
              <w:spacing w:after="0"/>
              <w:rPr>
                <w:sz w:val="20"/>
                <w:szCs w:val="20"/>
                <w:color w:val="auto"/>
              </w:rPr>
            </w:pPr>
            <w:r>
              <w:rPr>
                <w:rFonts w:ascii="Times New Roman" w:cs="Times New Roman" w:eastAsia="Times New Roman" w:hAnsi="Times New Roman"/>
                <w:sz w:val="17"/>
                <w:szCs w:val="17"/>
                <w:color w:val="0000FF"/>
              </w:rPr>
              <w:t>08/21/2024</w:t>
            </w: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C</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5,013</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740" w:type="dxa"/>
            <w:vAlign w:val="bottom"/>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4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5,013</w:t>
            </w:r>
          </w:p>
        </w:tc>
        <w:tc>
          <w:tcPr>
            <w:tcW w:w="300" w:type="dxa"/>
            <w:vAlign w:val="bottom"/>
          </w:tcPr>
          <w:p>
            <w:pPr>
              <w:spacing w:after="0"/>
              <w:rPr>
                <w:sz w:val="22"/>
                <w:szCs w:val="22"/>
                <w:color w:val="auto"/>
              </w:rPr>
            </w:pPr>
          </w:p>
        </w:tc>
        <w:tc>
          <w:tcPr>
            <w:tcW w:w="6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gridSpan w:val="2"/>
          </w:tcPr>
          <w:p>
            <w:pPr>
              <w:ind w:left="700"/>
              <w:spacing w:after="0"/>
              <w:rPr>
                <w:sz w:val="20"/>
                <w:szCs w:val="20"/>
                <w:color w:val="auto"/>
              </w:rPr>
            </w:pPr>
            <w:r>
              <w:rPr>
                <w:rFonts w:ascii="Times New Roman" w:cs="Times New Roman" w:eastAsia="Times New Roman" w:hAnsi="Times New Roman"/>
                <w:sz w:val="17"/>
                <w:szCs w:val="17"/>
                <w:color w:val="0000FF"/>
              </w:rPr>
              <w:t>08/21/2024</w:t>
            </w: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5,013</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59.7043</w:t>
            </w:r>
            <w:r>
              <w:rPr>
                <w:rFonts w:ascii="Times New Roman" w:cs="Times New Roman" w:eastAsia="Times New Roman" w:hAnsi="Times New Roman"/>
                <w:sz w:val="21"/>
                <w:szCs w:val="21"/>
                <w:color w:val="008000"/>
                <w:w w:val="91"/>
                <w:vertAlign w:val="superscript"/>
              </w:rPr>
              <w:t>(2)</w:t>
            </w:r>
          </w:p>
        </w:tc>
        <w:tc>
          <w:tcPr>
            <w:tcW w:w="680" w:type="dxa"/>
            <w:vAlign w:val="bottom"/>
            <w:tcBorders>
              <w:bottom w:val="single" w:sz="8" w:color="2C2C2C"/>
            </w:tcBorders>
            <w:gridSpan w:val="2"/>
          </w:tcPr>
          <w:p>
            <w:pPr>
              <w:jc w:val="center"/>
              <w:ind w:left="495"/>
              <w:spacing w:after="0"/>
              <w:rPr>
                <w:sz w:val="20"/>
                <w:szCs w:val="20"/>
                <w:color w:val="auto"/>
              </w:rPr>
            </w:pPr>
            <w:r>
              <w:rPr>
                <w:rFonts w:ascii="Times New Roman" w:cs="Times New Roman" w:eastAsia="Times New Roman" w:hAnsi="Times New Roman"/>
                <w:sz w:val="17"/>
                <w:szCs w:val="17"/>
                <w:color w:val="0000FF"/>
                <w:w w:val="93"/>
              </w:rPr>
              <w:t>0</w:t>
            </w: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0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121,361</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0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8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(3)</w:t>
            </w:r>
          </w:p>
        </w:tc>
        <w:tc>
          <w:tcPr>
            <w:tcW w:w="0" w:type="dxa"/>
            <w:vAlign w:val="bottom"/>
          </w:tcPr>
          <w:p>
            <w:pPr>
              <w:spacing w:after="0"/>
              <w:rPr>
                <w:sz w:val="1"/>
                <w:szCs w:val="1"/>
                <w:color w:val="auto"/>
              </w:rPr>
            </w:pPr>
          </w:p>
        </w:tc>
      </w:tr>
      <w:tr>
        <w:trPr>
          <w:trHeight w:val="199"/>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20" w:type="dxa"/>
            <w:vAlign w:val="bottom"/>
            <w:gridSpan w:val="12"/>
          </w:tcPr>
          <w:p>
            <w:pPr>
              <w:jc w:val="right"/>
              <w:ind w:right="16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20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40" w:type="dxa"/>
            <w:vAlign w:val="bottom"/>
          </w:tcPr>
          <w:p>
            <w:pPr>
              <w:spacing w:after="0"/>
              <w:rPr>
                <w:sz w:val="14"/>
                <w:szCs w:val="14"/>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Expiration Date</w:t>
            </w: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(Month/Day/Year)</w:t>
            </w: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Underlying</w:t>
            </w:r>
          </w:p>
        </w:tc>
        <w:tc>
          <w:tcPr>
            <w:tcW w:w="680" w:type="dxa"/>
            <w:vAlign w:val="bottom"/>
            <w:gridSpan w:val="2"/>
          </w:tcPr>
          <w:p>
            <w:pPr>
              <w:jc w:val="right"/>
              <w:ind w:right="143"/>
              <w:spacing w:after="0"/>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20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4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vMerge w:val="restart"/>
          </w:tcPr>
          <w:p>
            <w:pPr>
              <w:jc w:val="center"/>
              <w:ind w:left="18"/>
              <w:spacing w:after="0"/>
              <w:rPr>
                <w:sz w:val="20"/>
                <w:szCs w:val="20"/>
                <w:color w:val="auto"/>
              </w:rPr>
            </w:pPr>
            <w:r>
              <w:rPr>
                <w:rFonts w:ascii="Times New Roman" w:cs="Times New Roman" w:eastAsia="Times New Roman" w:hAnsi="Times New Roman"/>
                <w:sz w:val="13"/>
                <w:szCs w:val="13"/>
                <w:color w:val="0000FF"/>
                <w:w w:val="99"/>
              </w:rPr>
              <w:t>Class B</w:t>
            </w: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5,013</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1.31</w:t>
            </w: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08/21/2024</w:t>
            </w:r>
          </w:p>
        </w:tc>
        <w:tc>
          <w:tcPr>
            <w:tcW w:w="1080" w:type="dxa"/>
            <w:vAlign w:val="bottom"/>
          </w:tcPr>
          <w:p>
            <w:pPr>
              <w:spacing w:after="0"/>
              <w:rPr>
                <w:sz w:val="12"/>
                <w:szCs w:val="12"/>
                <w:color w:val="auto"/>
              </w:rPr>
            </w:pPr>
          </w:p>
        </w:tc>
        <w:tc>
          <w:tcPr>
            <w:tcW w:w="58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ind w:left="20"/>
              <w:spacing w:after="0" w:line="140" w:lineRule="exact"/>
              <w:rPr>
                <w:sz w:val="20"/>
                <w:szCs w:val="20"/>
                <w:color w:val="auto"/>
              </w:rPr>
            </w:pPr>
            <w:r>
              <w:rPr>
                <w:rFonts w:ascii="Times New Roman" w:cs="Times New Roman" w:eastAsia="Times New Roman" w:hAnsi="Times New Roman"/>
                <w:sz w:val="13"/>
                <w:szCs w:val="13"/>
                <w:color w:val="0000FF"/>
              </w:rPr>
              <w:t>5,013</w:t>
            </w:r>
          </w:p>
        </w:tc>
        <w:tc>
          <w:tcPr>
            <w:tcW w:w="780" w:type="dxa"/>
            <w:vAlign w:val="bottom"/>
          </w:tcPr>
          <w:p>
            <w:pPr>
              <w:jc w:val="center"/>
              <w:ind w:left="24"/>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01/06/2028</w:t>
            </w:r>
          </w:p>
        </w:tc>
        <w:tc>
          <w:tcPr>
            <w:tcW w:w="560" w:type="dxa"/>
            <w:vAlign w:val="bottom"/>
          </w:tcPr>
          <w:p>
            <w:pPr>
              <w:jc w:val="center"/>
              <w:ind w:left="18"/>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467,988</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jc w:val="center"/>
              <w:spacing w:after="0" w:line="153" w:lineRule="exact"/>
              <w:rPr>
                <w:sz w:val="20"/>
                <w:szCs w:val="20"/>
                <w:color w:val="auto"/>
              </w:rPr>
            </w:pPr>
            <w:r>
              <w:rPr>
                <w:rFonts w:ascii="Times New Roman" w:cs="Times New Roman" w:eastAsia="Times New Roman" w:hAnsi="Times New Roman"/>
                <w:sz w:val="11"/>
                <w:szCs w:val="11"/>
                <w:color w:val="0000FF"/>
              </w:rPr>
              <w:t>Stock</w:t>
            </w:r>
            <w:r>
              <w:rPr>
                <w:rFonts w:ascii="Times New Roman" w:cs="Times New Roman" w:eastAsia="Times New Roman" w:hAnsi="Times New Roman"/>
                <w:sz w:val="17"/>
                <w:szCs w:val="17"/>
                <w:color w:val="008000"/>
                <w:vertAlign w:val="superscript"/>
              </w:rPr>
              <w:t>(5)</w:t>
            </w: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vMerge w:val="restart"/>
          </w:tcPr>
          <w:p>
            <w:pPr>
              <w:jc w:val="center"/>
              <w:ind w:left="24"/>
              <w:spacing w:after="0"/>
              <w:rPr>
                <w:sz w:val="20"/>
                <w:szCs w:val="20"/>
                <w:color w:val="auto"/>
              </w:rPr>
            </w:pPr>
            <w:r>
              <w:rPr>
                <w:rFonts w:ascii="Times New Roman" w:cs="Times New Roman" w:eastAsia="Times New Roman" w:hAnsi="Times New Roman"/>
                <w:sz w:val="11"/>
                <w:szCs w:val="11"/>
                <w:color w:val="008000"/>
              </w:rPr>
              <w:t>(5)</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560" w:type="dxa"/>
            <w:vAlign w:val="bottom"/>
          </w:tcPr>
          <w:p>
            <w:pPr>
              <w:jc w:val="center"/>
              <w:ind w:left="18"/>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5,013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08/21/2024</w:t>
            </w:r>
          </w:p>
        </w:tc>
        <w:tc>
          <w:tcPr>
            <w:tcW w:w="1080" w:type="dxa"/>
            <w:vAlign w:val="bottom"/>
          </w:tcPr>
          <w:p>
            <w:pPr>
              <w:spacing w:after="0"/>
              <w:rPr>
                <w:sz w:val="12"/>
                <w:szCs w:val="12"/>
                <w:color w:val="auto"/>
              </w:rPr>
            </w:pPr>
          </w:p>
        </w:tc>
        <w:tc>
          <w:tcPr>
            <w:tcW w:w="58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2"/>
                <w:szCs w:val="12"/>
                <w:color w:val="auto"/>
              </w:rPr>
            </w:pPr>
          </w:p>
        </w:tc>
        <w:tc>
          <w:tcPr>
            <w:tcW w:w="480" w:type="dxa"/>
            <w:vAlign w:val="bottom"/>
          </w:tcPr>
          <w:p>
            <w:pPr>
              <w:ind w:left="80"/>
              <w:spacing w:after="0" w:line="140" w:lineRule="exact"/>
              <w:rPr>
                <w:sz w:val="20"/>
                <w:szCs w:val="20"/>
                <w:color w:val="auto"/>
              </w:rPr>
            </w:pPr>
            <w:r>
              <w:rPr>
                <w:rFonts w:ascii="Times New Roman" w:cs="Times New Roman" w:eastAsia="Times New Roman" w:hAnsi="Times New Roman"/>
                <w:sz w:val="13"/>
                <w:szCs w:val="13"/>
                <w:color w:val="0000FF"/>
              </w:rPr>
              <w:t>5,013</w:t>
            </w:r>
          </w:p>
        </w:tc>
        <w:tc>
          <w:tcPr>
            <w:tcW w:w="3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ind w:left="18"/>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5"/>
              </w:rPr>
              <w:t>5,013</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18"/>
              <w:spacing w:after="0"/>
              <w:rPr>
                <w:sz w:val="20"/>
                <w:szCs w:val="20"/>
                <w:color w:val="auto"/>
              </w:rPr>
            </w:pPr>
            <w:r>
              <w:rPr>
                <w:rFonts w:ascii="Times New Roman" w:cs="Times New Roman" w:eastAsia="Times New Roman" w:hAnsi="Times New Roman"/>
                <w:sz w:val="13"/>
                <w:szCs w:val="13"/>
                <w:color w:val="0000FF"/>
                <w:w w:val="94"/>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vMerge w:val="restart"/>
          </w:tcPr>
          <w:p>
            <w:pPr>
              <w:jc w:val="center"/>
              <w:ind w:left="24"/>
              <w:spacing w:after="0"/>
              <w:rPr>
                <w:sz w:val="20"/>
                <w:szCs w:val="20"/>
                <w:color w:val="auto"/>
              </w:rPr>
            </w:pPr>
            <w:r>
              <w:rPr>
                <w:rFonts w:ascii="Times New Roman" w:cs="Times New Roman" w:eastAsia="Times New Roman" w:hAnsi="Times New Roman"/>
                <w:sz w:val="11"/>
                <w:szCs w:val="11"/>
                <w:color w:val="008000"/>
              </w:rPr>
              <w:t>(5)</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560" w:type="dxa"/>
            <w:vAlign w:val="bottom"/>
          </w:tcPr>
          <w:p>
            <w:pPr>
              <w:jc w:val="center"/>
              <w:ind w:left="18"/>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5,013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08/21/2024</w:t>
            </w:r>
          </w:p>
        </w:tc>
        <w:tc>
          <w:tcPr>
            <w:tcW w:w="1080" w:type="dxa"/>
            <w:vAlign w:val="bottom"/>
          </w:tcPr>
          <w:p>
            <w:pPr>
              <w:spacing w:after="0"/>
              <w:rPr>
                <w:sz w:val="12"/>
                <w:szCs w:val="12"/>
                <w:color w:val="auto"/>
              </w:rPr>
            </w:pPr>
          </w:p>
        </w:tc>
        <w:tc>
          <w:tcPr>
            <w:tcW w:w="58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C</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ind w:left="20"/>
              <w:spacing w:after="0" w:line="140" w:lineRule="exact"/>
              <w:rPr>
                <w:sz w:val="20"/>
                <w:szCs w:val="20"/>
                <w:color w:val="auto"/>
              </w:rPr>
            </w:pPr>
            <w:r>
              <w:rPr>
                <w:rFonts w:ascii="Times New Roman" w:cs="Times New Roman" w:eastAsia="Times New Roman" w:hAnsi="Times New Roman"/>
                <w:sz w:val="13"/>
                <w:szCs w:val="13"/>
                <w:color w:val="0000FF"/>
              </w:rPr>
              <w:t>5,013</w:t>
            </w: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ind w:left="18"/>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60" w:type="dxa"/>
            <w:vAlign w:val="bottom"/>
          </w:tcPr>
          <w:p>
            <w:pPr>
              <w:jc w:val="center"/>
              <w:ind w:left="220"/>
              <w:spacing w:after="0" w:line="140"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2"/>
                <w:szCs w:val="12"/>
                <w:color w:val="auto"/>
              </w:rPr>
            </w:pP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18"/>
              <w:spacing w:after="0"/>
              <w:rPr>
                <w:sz w:val="20"/>
                <w:szCs w:val="20"/>
                <w:color w:val="auto"/>
              </w:rPr>
            </w:pPr>
            <w:r>
              <w:rPr>
                <w:rFonts w:ascii="Times New Roman" w:cs="Times New Roman" w:eastAsia="Times New Roman" w:hAnsi="Times New Roman"/>
                <w:sz w:val="13"/>
                <w:szCs w:val="13"/>
                <w:color w:val="0000FF"/>
                <w:w w:val="94"/>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vMerge w:val="restart"/>
          </w:tcPr>
          <w:p>
            <w:pPr>
              <w:jc w:val="center"/>
              <w:ind w:left="18"/>
              <w:spacing w:after="0"/>
              <w:rPr>
                <w:sz w:val="20"/>
                <w:szCs w:val="20"/>
                <w:color w:val="auto"/>
              </w:rPr>
            </w:pPr>
            <w:r>
              <w:rPr>
                <w:rFonts w:ascii="Times New Roman" w:cs="Times New Roman" w:eastAsia="Times New Roman" w:hAnsi="Times New Roman"/>
                <w:sz w:val="13"/>
                <w:szCs w:val="13"/>
                <w:color w:val="0000FF"/>
                <w:w w:val="99"/>
              </w:rPr>
              <w:t>Class B</w:t>
            </w: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100,000</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3.77</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jc w:val="center"/>
              <w:ind w:left="24"/>
              <w:spacing w:after="0"/>
              <w:rPr>
                <w:sz w:val="20"/>
                <w:szCs w:val="20"/>
                <w:color w:val="auto"/>
              </w:rPr>
            </w:pPr>
            <w:r>
              <w:rPr>
                <w:rFonts w:ascii="Times New Roman" w:cs="Times New Roman" w:eastAsia="Times New Roman" w:hAnsi="Times New Roman"/>
                <w:sz w:val="11"/>
                <w:szCs w:val="11"/>
                <w:color w:val="008000"/>
              </w:rPr>
              <w:t>(6)</w:t>
            </w:r>
          </w:p>
        </w:tc>
        <w:tc>
          <w:tcPr>
            <w:tcW w:w="74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09/24/2028</w:t>
            </w:r>
          </w:p>
        </w:tc>
        <w:tc>
          <w:tcPr>
            <w:tcW w:w="560" w:type="dxa"/>
            <w:vAlign w:val="bottom"/>
          </w:tcPr>
          <w:p>
            <w:pPr>
              <w:jc w:val="center"/>
              <w:ind w:left="18"/>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100,000</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jc w:val="center"/>
              <w:spacing w:after="0" w:line="153" w:lineRule="exact"/>
              <w:rPr>
                <w:sz w:val="20"/>
                <w:szCs w:val="20"/>
                <w:color w:val="auto"/>
              </w:rPr>
            </w:pPr>
            <w:r>
              <w:rPr>
                <w:rFonts w:ascii="Times New Roman" w:cs="Times New Roman" w:eastAsia="Times New Roman" w:hAnsi="Times New Roman"/>
                <w:sz w:val="11"/>
                <w:szCs w:val="11"/>
                <w:color w:val="0000FF"/>
              </w:rPr>
              <w:t>Stock</w:t>
            </w:r>
            <w:r>
              <w:rPr>
                <w:rFonts w:ascii="Times New Roman" w:cs="Times New Roman" w:eastAsia="Times New Roman" w:hAnsi="Times New Roman"/>
                <w:sz w:val="17"/>
                <w:szCs w:val="17"/>
                <w:color w:val="008000"/>
                <w:vertAlign w:val="superscript"/>
              </w:rPr>
              <w:t>(7)</w:t>
            </w: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vMerge w:val="restart"/>
          </w:tcPr>
          <w:p>
            <w:pPr>
              <w:jc w:val="center"/>
              <w:ind w:left="24"/>
              <w:spacing w:after="0"/>
              <w:rPr>
                <w:sz w:val="20"/>
                <w:szCs w:val="20"/>
                <w:color w:val="auto"/>
              </w:rPr>
            </w:pPr>
            <w:r>
              <w:rPr>
                <w:rFonts w:ascii="Times New Roman" w:cs="Times New Roman" w:eastAsia="Times New Roman" w:hAnsi="Times New Roman"/>
                <w:sz w:val="11"/>
                <w:szCs w:val="11"/>
                <w:color w:val="008000"/>
              </w:rPr>
              <w:t>(9)</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560" w:type="dxa"/>
            <w:vAlign w:val="bottom"/>
          </w:tcPr>
          <w:p>
            <w:pPr>
              <w:jc w:val="center"/>
              <w:ind w:left="18"/>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148,608</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ind w:left="18"/>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148,608</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18"/>
              <w:spacing w:after="0"/>
              <w:rPr>
                <w:sz w:val="20"/>
                <w:szCs w:val="20"/>
                <w:color w:val="auto"/>
              </w:rPr>
            </w:pPr>
            <w:r>
              <w:rPr>
                <w:rFonts w:ascii="Times New Roman" w:cs="Times New Roman" w:eastAsia="Times New Roman" w:hAnsi="Times New Roman"/>
                <w:sz w:val="13"/>
                <w:szCs w:val="13"/>
                <w:color w:val="0000FF"/>
                <w:w w:val="94"/>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vMerge w:val="restart"/>
          </w:tcPr>
          <w:p>
            <w:pPr>
              <w:jc w:val="center"/>
              <w:ind w:left="24"/>
              <w:spacing w:after="0"/>
              <w:rPr>
                <w:sz w:val="20"/>
                <w:szCs w:val="20"/>
                <w:color w:val="auto"/>
              </w:rPr>
            </w:pPr>
            <w:r>
              <w:rPr>
                <w:rFonts w:ascii="Times New Roman" w:cs="Times New Roman" w:eastAsia="Times New Roman" w:hAnsi="Times New Roman"/>
                <w:sz w:val="11"/>
                <w:szCs w:val="11"/>
                <w:color w:val="008000"/>
                <w:w w:val="97"/>
              </w:rPr>
              <w:t>(10)</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(10)</w:t>
            </w:r>
          </w:p>
        </w:tc>
        <w:tc>
          <w:tcPr>
            <w:tcW w:w="560" w:type="dxa"/>
            <w:vAlign w:val="bottom"/>
          </w:tcPr>
          <w:p>
            <w:pPr>
              <w:jc w:val="center"/>
              <w:ind w:left="18"/>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117,130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ind w:left="18"/>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117,130</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18"/>
              <w:spacing w:after="0"/>
              <w:rPr>
                <w:sz w:val="20"/>
                <w:szCs w:val="20"/>
                <w:color w:val="auto"/>
              </w:rPr>
            </w:pPr>
            <w:r>
              <w:rPr>
                <w:rFonts w:ascii="Times New Roman" w:cs="Times New Roman" w:eastAsia="Times New Roman" w:hAnsi="Times New Roman"/>
                <w:sz w:val="13"/>
                <w:szCs w:val="13"/>
                <w:color w:val="0000FF"/>
                <w:w w:val="94"/>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-3832225</wp:posOffset>
            </wp:positionV>
            <wp:extent cx="28575" cy="3837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383730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41" w:lineRule="exact"/>
        <w:rPr>
          <w:rFonts w:ascii="Times New Roman" w:cs="Times New Roman" w:eastAsia="Times New Roman" w:hAnsi="Times New Roman"/>
          <w:sz w:val="13"/>
          <w:szCs w:val="13"/>
          <w:color w:val="008000"/>
        </w:rPr>
      </w:pPr>
    </w:p>
    <w:p>
      <w:pPr>
        <w:ind w:left="40" w:right="260"/>
        <w:spacing w:after="0" w:line="287" w:lineRule="auto"/>
        <w:tabs>
          <w:tab w:leader="none" w:pos="16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$59.47 to $60.00.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Kelly Steckelberg Trust dated July 29, 2006, for which the Reporting Person serves as trustee.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1/4 of the shares subject to the option vested on November 6, 2018, and 1/48 of the shares vest monthly thereafter. The shares subject to this option are early exercisable, subject to the Issuer's right to repurchase.</w:t>
      </w:r>
    </w:p>
    <w:p>
      <w:pPr>
        <w:spacing w:after="0" w:line="52" w:lineRule="exact"/>
        <w:rPr>
          <w:rFonts w:ascii="Times New Roman" w:cs="Times New Roman" w:eastAsia="Times New Roman" w:hAnsi="Times New Roman"/>
          <w:sz w:val="12"/>
          <w:szCs w:val="12"/>
          <w:color w:val="008000"/>
        </w:rPr>
      </w:pPr>
    </w:p>
    <w:p>
      <w:pPr>
        <w:ind w:left="40" w:right="200"/>
        <w:spacing w:after="0" w:line="232"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7" w:lineRule="exact"/>
        <w:rPr>
          <w:rFonts w:ascii="Times New Roman" w:cs="Times New Roman" w:eastAsia="Times New Roman" w:hAnsi="Times New Roman"/>
          <w:sz w:val="13"/>
          <w:szCs w:val="13"/>
          <w:color w:val="008000"/>
        </w:rPr>
      </w:pPr>
    </w:p>
    <w:p>
      <w:pPr>
        <w:ind w:left="40" w:right="18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1/48 of the shares subject to the option vests in equal monthly installments commencing one month from September 24, 2018. The shares subject to this option are early exercisable, subject to the Issuer's right to repurchase.</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the Reporting Person into one share of Class A Common Stock and has no expiration date. Following the closing of the Issuer's IPO, each</w:t>
      </w:r>
    </w:p>
    <w:p>
      <w:pPr>
        <w:sectPr>
          <w:pgSz w:w="11900" w:h="16871" w:orient="portrait"/>
          <w:cols w:equalWidth="0" w:num="1">
            <w:col w:w="11080"/>
          </w:cols>
          <w:pgMar w:left="460" w:top="216" w:right="359" w:bottom="0" w:gutter="0" w:footer="0" w:header="0"/>
          <w:type w:val="continuous"/>
        </w:sectPr>
      </w:pPr>
    </w:p>
    <w:bookmarkStart w:id="1" w:name="page2"/>
    <w:bookmarkEnd w:id="1"/>
    <w:p>
      <w:pPr>
        <w:spacing w:after="0" w:line="234" w:lineRule="auto"/>
        <w:rPr>
          <w:sz w:val="20"/>
          <w:szCs w:val="20"/>
          <w:color w:val="auto"/>
        </w:rPr>
      </w:pPr>
      <w:r>
        <w:rPr>
          <w:rFonts w:ascii="Times New Roman" w:cs="Times New Roman" w:eastAsia="Times New Roman" w:hAnsi="Times New Roman"/>
          <w:sz w:val="13"/>
          <w:szCs w:val="13"/>
          <w:color w:val="008000"/>
        </w:rPr>
        <w:t>share of Class B Common Stock held by the Reporting Person will convert automatically into one share of Class A Common Stock upon (a) other than Eric S. Yuan, the death of the Reporting Person, or (b) any transfer by the Reporting Person except certain "Permitted Transfers" described in the Issuer's certificate of incorporation. Following the closing of the IPO,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IPO.</w:t>
      </w:r>
    </w:p>
    <w:p>
      <w:pPr>
        <w:spacing w:after="0" w:line="28" w:lineRule="exact"/>
        <w:rPr>
          <w:sz w:val="20"/>
          <w:szCs w:val="20"/>
          <w:color w:val="auto"/>
        </w:rPr>
      </w:pPr>
    </w:p>
    <w:p>
      <w:pPr>
        <w:ind w:left="120" w:hanging="120"/>
        <w:spacing w:after="0"/>
        <w:tabs>
          <w:tab w:leader="none" w:pos="1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1" w:lineRule="exact"/>
        <w:rPr>
          <w:rFonts w:ascii="Times New Roman" w:cs="Times New Roman" w:eastAsia="Times New Roman" w:hAnsi="Times New Roman"/>
          <w:sz w:val="13"/>
          <w:szCs w:val="13"/>
          <w:color w:val="008000"/>
        </w:rPr>
      </w:pPr>
    </w:p>
    <w:p>
      <w:pPr>
        <w:ind w:left="120" w:hanging="120"/>
        <w:spacing w:after="0"/>
        <w:tabs>
          <w:tab w:leader="none" w:pos="1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8, 2022, which will vest in equal quarterly installments over four years.</w:t>
      </w:r>
    </w:p>
    <w:p>
      <w:pPr>
        <w:spacing w:after="0" w:line="41" w:lineRule="exact"/>
        <w:rPr>
          <w:rFonts w:ascii="Times New Roman" w:cs="Times New Roman" w:eastAsia="Times New Roman" w:hAnsi="Times New Roman"/>
          <w:sz w:val="13"/>
          <w:szCs w:val="13"/>
          <w:color w:val="008000"/>
        </w:rPr>
      </w:pPr>
    </w:p>
    <w:p>
      <w:pPr>
        <w:ind w:left="200" w:hanging="200"/>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11, 2023 which will vest in equal quarterly installments over three years.</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05"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Aparna Bawa, Attorney-in-</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08/23/2024</w:t>
            </w:r>
          </w:p>
        </w:tc>
        <w:tc>
          <w:tcPr>
            <w:tcW w:w="0" w:type="dxa"/>
            <w:vAlign w:val="bottom"/>
          </w:tcPr>
          <w:p>
            <w:pPr>
              <w:spacing w:after="0"/>
              <w:rPr>
                <w:sz w:val="1"/>
                <w:szCs w:val="1"/>
                <w:color w:val="auto"/>
              </w:rPr>
            </w:pPr>
          </w:p>
        </w:tc>
      </w:tr>
      <w:tr>
        <w:trPr>
          <w:trHeight w:val="87"/>
        </w:trPr>
        <w:tc>
          <w:tcPr>
            <w:tcW w:w="280" w:type="dxa"/>
            <w:vAlign w:val="bottom"/>
            <w:tcBorders>
              <w:top w:val="single" w:sz="8" w:color="auto"/>
              <w:bottom w:val="single" w:sz="8" w:color="auto"/>
            </w:tcBorders>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88"/>
              </w:rPr>
              <w:t>Fact</w:t>
            </w:r>
          </w:p>
        </w:tc>
        <w:tc>
          <w:tcPr>
            <w:tcW w:w="1720" w:type="dxa"/>
            <w:vAlign w:val="bottom"/>
            <w:tcBorders>
              <w:top w:val="single" w:sz="8" w:color="auto"/>
              <w:bottom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80" w:type="dxa"/>
            <w:vAlign w:val="bottom"/>
            <w:tcBorders>
              <w:bottom w:val="single" w:sz="8" w:color="auto"/>
            </w:tcBorders>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right="3360"/>
        <w:spacing w:after="0" w:line="331"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00"/>
      </w:cols>
      <w:pgMar w:left="500" w:top="127"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8"/>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64713"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2024-08-23T17:57:39Z</dcterms:created>
  <dcterms:modified xsi:type="dcterms:W3CDTF">2024-08-23T17:57:39Z</dcterms:modified>
</cp:coreProperties>
</file>