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610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109335"/>
                    </a:xfrm>
                    <a:prstGeom prst="rect">
                      <a:avLst/>
                    </a:prstGeom>
                    <a:noFill/>
                  </pic:spPr>
                </pic:pic>
              </a:graphicData>
            </a:graphic>
          </wp:anchor>
        </w:drawing>
      </w:r>
    </w:p>
    <w:p>
      <w:pPr>
        <w:spacing w:after="0" w:line="1156" w:lineRule="exact"/>
        <w:rPr>
          <w:sz w:val="24"/>
          <w:szCs w:val="24"/>
          <w:color w:val="auto"/>
        </w:rPr>
      </w:pPr>
    </w:p>
    <w:p>
      <w:pPr>
        <w:sectPr>
          <w:pgSz w:w="11900" w:h="16864" w:orient="portrait"/>
          <w:cols w:equalWidth="0" w:num="2">
            <w:col w:w="2260" w:space="380"/>
            <w:col w:w="844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Scheinman Daniel</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3"/>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Borders>
              <w:top w:val="single" w:sz="8" w:color="0000EE"/>
            </w:tcBorders>
          </w:tcPr>
          <w:p>
            <w:pPr>
              <w:spacing w:after="0"/>
              <w:rPr>
                <w:sz w:val="4"/>
                <w:szCs w:val="4"/>
                <w:color w:val="auto"/>
              </w:rPr>
            </w:pPr>
          </w:p>
        </w:tc>
        <w:tc>
          <w:tcPr>
            <w:tcW w:w="1440" w:type="dxa"/>
            <w:vAlign w:val="bottom"/>
          </w:tcPr>
          <w:p>
            <w:pPr>
              <w:spacing w:after="0"/>
              <w:rPr>
                <w:sz w:val="4"/>
                <w:szCs w:val="4"/>
                <w:color w:val="auto"/>
              </w:rPr>
            </w:pPr>
          </w:p>
        </w:tc>
        <w:tc>
          <w:tcPr>
            <w:tcW w:w="1840" w:type="dxa"/>
            <w:vAlign w:val="bottom"/>
            <w:vMerge w:val="restart"/>
          </w:tcPr>
          <w:p>
            <w:pPr>
              <w:ind w:left="6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line="147" w:lineRule="exact"/>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3820" w:type="dxa"/>
            <w:vAlign w:val="bottom"/>
            <w:gridSpan w:val="3"/>
            <w:vMerge w:val="continue"/>
          </w:tcPr>
          <w:p>
            <w:pPr>
              <w:spacing w:after="0"/>
              <w:rPr>
                <w:sz w:val="10"/>
                <w:szCs w:val="10"/>
                <w:color w:val="auto"/>
              </w:rPr>
            </w:pPr>
          </w:p>
        </w:tc>
        <w:tc>
          <w:tcPr>
            <w:tcW w:w="1840" w:type="dxa"/>
            <w:vAlign w:val="bottom"/>
          </w:tcPr>
          <w:p>
            <w:pPr>
              <w:ind w:left="60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06/10/2026</w:t>
            </w:r>
          </w:p>
        </w:tc>
        <w:tc>
          <w:tcPr>
            <w:tcW w:w="14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ZOOM COMMUNICATIONS, INC.</w:t>
            </w:r>
          </w:p>
        </w:tc>
        <w:tc>
          <w:tcPr>
            <w:tcW w:w="246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55 ALMADEN BOULEVARD, 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64" w:orient="portrait"/>
          <w:cols w:equalWidth="0" w:num="1">
            <w:col w:w="11080"/>
          </w:cols>
          <w:pgMar w:left="460" w:top="215" w:right="359" w:bottom="0" w:gutter="0" w:footer="0" w:header="0"/>
          <w:type w:val="continuous"/>
        </w:sectPr>
      </w:pP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7" w:lineRule="exact"/>
        <w:rPr>
          <w:sz w:val="20"/>
          <w:szCs w:val="20"/>
          <w:color w:val="auto"/>
        </w:rPr>
      </w:pPr>
    </w:p>
    <w:p>
      <w:pPr>
        <w:sectPr>
          <w:pgSz w:w="11900" w:h="16864" w:orient="portrait"/>
          <w:cols w:equalWidth="0" w:num="2">
            <w:col w:w="7540" w:space="720"/>
            <w:col w:w="282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8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gridSpan w:val="2"/>
          </w:tcPr>
          <w:p>
            <w:pPr>
              <w:ind w:left="28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vMerge w:val="restart"/>
          </w:tcPr>
          <w:p>
            <w:pPr>
              <w:ind w:left="960"/>
              <w:spacing w:after="0"/>
              <w:rPr>
                <w:sz w:val="20"/>
                <w:szCs w:val="20"/>
                <w:color w:val="auto"/>
              </w:rPr>
            </w:pPr>
            <w:r>
              <w:rPr>
                <w:rFonts w:ascii="Times New Roman" w:cs="Times New Roman" w:eastAsia="Times New Roman" w:hAnsi="Times New Roman"/>
                <w:sz w:val="16"/>
                <w:szCs w:val="16"/>
                <w:color w:val="0000FF"/>
              </w:rPr>
              <w:t>06/10/2026</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0"/>
                <w:szCs w:val="2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3,583</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0"/>
                <w:szCs w:val="20"/>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13,913</w:t>
            </w:r>
          </w:p>
        </w:tc>
        <w:tc>
          <w:tcPr>
            <w:tcW w:w="34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3,583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06/10/2026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3,583</w:t>
            </w: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tcPr>
          <w:p>
            <w:pPr>
              <w:jc w:val="center"/>
              <w:ind w:left="243"/>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2"/>
                <w:szCs w:val="12"/>
                <w:color w:val="auto"/>
              </w:rPr>
            </w:pP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3,012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06/11/2026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3,012</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3,012</w:t>
            </w: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0000FF"/>
                <w:w w:val="99"/>
              </w:rPr>
              <w:t>Class B</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80,000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10.79</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ind w:right="205"/>
              <w:spacing w:after="0"/>
              <w:rPr>
                <w:sz w:val="20"/>
                <w:szCs w:val="20"/>
                <w:color w:val="auto"/>
              </w:rPr>
            </w:pPr>
            <w:r>
              <w:rPr>
                <w:rFonts w:ascii="Times New Roman" w:cs="Times New Roman" w:eastAsia="Times New Roman" w:hAnsi="Times New Roman"/>
                <w:sz w:val="10"/>
                <w:szCs w:val="10"/>
                <w:color w:val="008000"/>
              </w:rPr>
              <w:t>(4)</w:t>
            </w:r>
          </w:p>
        </w:tc>
        <w:tc>
          <w:tcPr>
            <w:tcW w:w="8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11/29/2028</w:t>
            </w: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80,000</w:t>
            </w: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ind w:right="7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1,126,281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00" w:type="dxa"/>
            <w:vAlign w:val="bottom"/>
            <w:gridSpan w:val="2"/>
            <w:vMerge w:val="restart"/>
          </w:tcPr>
          <w:p>
            <w:pPr>
              <w:ind w:left="2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1,126,281</w:t>
            </w:r>
          </w:p>
        </w:tc>
        <w:tc>
          <w:tcPr>
            <w:tcW w:w="600" w:type="dxa"/>
            <w:vAlign w:val="bottom"/>
            <w:vMerge w:val="restart"/>
          </w:tcPr>
          <w:p>
            <w:pPr>
              <w:jc w:val="center"/>
              <w:ind w:left="1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Stock (2)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rPr>
              <w:t>437,974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00" w:type="dxa"/>
            <w:vAlign w:val="bottom"/>
            <w:gridSpan w:val="2"/>
            <w:vMerge w:val="restart"/>
          </w:tcPr>
          <w:p>
            <w:pPr>
              <w:ind w:left="2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437,974</w:t>
            </w:r>
          </w:p>
        </w:tc>
        <w:tc>
          <w:tcPr>
            <w:tcW w:w="600" w:type="dxa"/>
            <w:vAlign w:val="bottom"/>
            <w:vMerge w:val="restart"/>
          </w:tcPr>
          <w:p>
            <w:pPr>
              <w:jc w:val="center"/>
              <w:ind w:left="1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Stock (2)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-3194050</wp:posOffset>
            </wp:positionV>
            <wp:extent cx="28575" cy="3199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199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Dan &amp; Zoe Scheinman Trust Dated 2/23/01,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40" w:right="24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2" w:lineRule="exact"/>
        <w:rPr>
          <w:rFonts w:ascii="Times New Roman" w:cs="Times New Roman" w:eastAsia="Times New Roman" w:hAnsi="Times New Roman"/>
          <w:sz w:val="13"/>
          <w:szCs w:val="13"/>
          <w:color w:val="008000"/>
        </w:rPr>
      </w:pPr>
    </w:p>
    <w:p>
      <w:pPr>
        <w:ind w:left="40" w:right="30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November 29, 2018. The shares subject to this option are early exercisable, subject to the Issuer's right to repurchase.</w:t>
      </w:r>
    </w:p>
    <w:p>
      <w:pPr>
        <w:spacing w:after="0" w:line="22" w:lineRule="exact"/>
        <w:rPr>
          <w:rFonts w:ascii="Times New Roman" w:cs="Times New Roman" w:eastAsia="Times New Roman" w:hAnsi="Times New Roman"/>
          <w:sz w:val="13"/>
          <w:szCs w:val="13"/>
          <w:color w:val="008000"/>
        </w:rPr>
      </w:pPr>
    </w:p>
    <w:p>
      <w:pPr>
        <w:ind w:left="40" w:right="32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2017 Scheinman Irrevocable Trust ("2017 Scheinman Trust"). The trustee for 2017 Scheinman Trust is Neuberger Berman Trust Company of Delaware N.A. The Reporting Person's family members are beneficiaries under the 2017 Scheinman Trust.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/s/ Cheree McAlpine, Attorney-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2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294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400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3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7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64"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56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2026-06-12T20:03:39Z</dcterms:created>
  <dcterms:modified xsi:type="dcterms:W3CDTF">2026-06-12T20:03:39Z</dcterms:modified>
</cp:coreProperties>
</file>