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52"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Steckelberg Kelly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06/18/2020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58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583815"/>
                    </a:xfrm>
                    <a:prstGeom prst="rect">
                      <a:avLst/>
                    </a:prstGeom>
                    <a:noFill/>
                  </pic:spPr>
                </pic:pic>
              </a:graphicData>
            </a:graphic>
          </wp:anchor>
        </w:drawing>
      </w:r>
    </w:p>
    <w:p>
      <w:pPr>
        <w:spacing w:after="0" w:line="385" w:lineRule="exact"/>
        <w:rPr>
          <w:sz w:val="24"/>
          <w:szCs w:val="24"/>
          <w:color w:val="auto"/>
        </w:rPr>
      </w:pPr>
    </w:p>
    <w:p>
      <w:pPr>
        <w:sectPr>
          <w:pgSz w:w="11900" w:h="16852"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00"/>
              <w:spacing w:after="0" w:line="125"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89"/>
              </w:rPr>
              <w:t>06/18/2020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w:t>
            </w:r>
          </w:p>
        </w:tc>
        <w:tc>
          <w:tcPr>
            <w:tcW w:w="840" w:type="dxa"/>
            <w:vAlign w:val="bottom"/>
            <w:vMerge w:val="restart"/>
          </w:tcPr>
          <w:p>
            <w:pPr>
              <w:jc w:val="right"/>
              <w:ind w:right="192"/>
              <w:spacing w:after="0"/>
              <w:rPr>
                <w:sz w:val="20"/>
                <w:szCs w:val="20"/>
                <w:color w:val="auto"/>
              </w:rPr>
            </w:pPr>
            <w:r>
              <w:rPr>
                <w:rFonts w:ascii="Arial" w:cs="Arial" w:eastAsia="Arial" w:hAnsi="Arial"/>
                <w:sz w:val="17"/>
                <w:szCs w:val="17"/>
                <w:color w:val="0000FF"/>
              </w:rPr>
              <w:t>5,982</w:t>
            </w:r>
          </w:p>
        </w:tc>
        <w:tc>
          <w:tcPr>
            <w:tcW w:w="42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1"/>
                <w:szCs w:val="21"/>
                <w:color w:val="auto"/>
              </w:rPr>
            </w:pPr>
          </w:p>
        </w:tc>
        <w:tc>
          <w:tcPr>
            <w:tcW w:w="520" w:type="dxa"/>
            <w:vAlign w:val="bottom"/>
            <w:vMerge w:val="restart"/>
          </w:tcPr>
          <w:p>
            <w:pPr>
              <w:jc w:val="right"/>
              <w:ind w:right="1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12,454</w:t>
            </w:r>
            <w:r>
              <w:rPr>
                <w:rFonts w:ascii="Arial" w:cs="Arial" w:eastAsia="Arial" w:hAnsi="Arial"/>
                <w:sz w:val="21"/>
                <w:szCs w:val="21"/>
                <w:color w:val="008000"/>
                <w:w w:val="83"/>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89"/>
              </w:rPr>
              <w:t>06/18/2020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40" w:type="dxa"/>
            <w:vAlign w:val="bottom"/>
            <w:vMerge w:val="restart"/>
          </w:tcPr>
          <w:p>
            <w:pPr>
              <w:jc w:val="right"/>
              <w:ind w:right="192"/>
              <w:spacing w:after="0"/>
              <w:rPr>
                <w:sz w:val="20"/>
                <w:szCs w:val="20"/>
                <w:color w:val="auto"/>
              </w:rPr>
            </w:pPr>
            <w:r>
              <w:rPr>
                <w:rFonts w:ascii="Arial" w:cs="Arial" w:eastAsia="Arial" w:hAnsi="Arial"/>
                <w:sz w:val="17"/>
                <w:szCs w:val="17"/>
                <w:color w:val="0000FF"/>
              </w:rPr>
              <w:t>5,165</w:t>
            </w:r>
          </w:p>
        </w:tc>
        <w:tc>
          <w:tcPr>
            <w:tcW w:w="42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239.864</w:t>
            </w:r>
            <w:r>
              <w:rPr>
                <w:rFonts w:ascii="Arial" w:cs="Arial" w:eastAsia="Arial" w:hAnsi="Arial"/>
                <w:sz w:val="21"/>
                <w:szCs w:val="21"/>
                <w:color w:val="008000"/>
                <w:w w:val="95"/>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7,289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89"/>
              </w:rPr>
              <w:t>06/18/2020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40" w:type="dxa"/>
            <w:vAlign w:val="bottom"/>
            <w:vMerge w:val="restart"/>
          </w:tcPr>
          <w:p>
            <w:pPr>
              <w:jc w:val="right"/>
              <w:ind w:right="192"/>
              <w:spacing w:after="0"/>
              <w:rPr>
                <w:sz w:val="20"/>
                <w:szCs w:val="20"/>
                <w:color w:val="auto"/>
              </w:rPr>
            </w:pPr>
            <w:r>
              <w:rPr>
                <w:rFonts w:ascii="Arial" w:cs="Arial" w:eastAsia="Arial" w:hAnsi="Arial"/>
                <w:sz w:val="17"/>
                <w:szCs w:val="17"/>
                <w:color w:val="0000FF"/>
              </w:rPr>
              <w:t>4,200</w:t>
            </w:r>
          </w:p>
        </w:tc>
        <w:tc>
          <w:tcPr>
            <w:tcW w:w="42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240.6824</w:t>
            </w:r>
            <w:r>
              <w:rPr>
                <w:rFonts w:ascii="Arial" w:cs="Arial" w:eastAsia="Arial" w:hAnsi="Arial"/>
                <w:sz w:val="21"/>
                <w:szCs w:val="21"/>
                <w:color w:val="008000"/>
                <w:w w:val="84"/>
                <w:vertAlign w:val="superscript"/>
              </w:rPr>
              <w:t>(5)</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3,089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89"/>
              </w:rPr>
              <w:t>06/18/2020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40" w:type="dxa"/>
            <w:vAlign w:val="bottom"/>
            <w:vMerge w:val="restart"/>
          </w:tcPr>
          <w:p>
            <w:pPr>
              <w:jc w:val="right"/>
              <w:ind w:right="192"/>
              <w:spacing w:after="0"/>
              <w:rPr>
                <w:sz w:val="20"/>
                <w:szCs w:val="20"/>
                <w:color w:val="auto"/>
              </w:rPr>
            </w:pPr>
            <w:r>
              <w:rPr>
                <w:rFonts w:ascii="Arial" w:cs="Arial" w:eastAsia="Arial" w:hAnsi="Arial"/>
                <w:sz w:val="17"/>
                <w:szCs w:val="17"/>
                <w:color w:val="0000FF"/>
              </w:rPr>
              <w:t>1,600</w:t>
            </w:r>
          </w:p>
        </w:tc>
        <w:tc>
          <w:tcPr>
            <w:tcW w:w="42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241.8575</w:t>
            </w:r>
            <w:r>
              <w:rPr>
                <w:rFonts w:ascii="Arial" w:cs="Arial" w:eastAsia="Arial" w:hAnsi="Arial"/>
                <w:sz w:val="21"/>
                <w:szCs w:val="21"/>
                <w:color w:val="008000"/>
                <w:w w:val="84"/>
                <w:vertAlign w:val="superscript"/>
              </w:rPr>
              <w:t>(6)</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1,489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89"/>
              </w:rPr>
              <w:t>06/18/2020</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40" w:type="dxa"/>
            <w:vAlign w:val="bottom"/>
            <w:vMerge w:val="restart"/>
          </w:tcPr>
          <w:p>
            <w:pPr>
              <w:ind w:left="260"/>
              <w:spacing w:after="0"/>
              <w:rPr>
                <w:sz w:val="20"/>
                <w:szCs w:val="20"/>
                <w:color w:val="auto"/>
              </w:rPr>
            </w:pPr>
            <w:r>
              <w:rPr>
                <w:rFonts w:ascii="Arial" w:cs="Arial" w:eastAsia="Arial" w:hAnsi="Arial"/>
                <w:sz w:val="17"/>
                <w:szCs w:val="17"/>
                <w:color w:val="0000FF"/>
              </w:rPr>
              <w:t>101</w:t>
            </w:r>
          </w:p>
        </w:tc>
        <w:tc>
          <w:tcPr>
            <w:tcW w:w="42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242.4807</w:t>
            </w:r>
            <w:r>
              <w:rPr>
                <w:rFonts w:ascii="Arial" w:cs="Arial" w:eastAsia="Arial" w:hAnsi="Arial"/>
                <w:sz w:val="21"/>
                <w:szCs w:val="21"/>
                <w:color w:val="008000"/>
                <w:w w:val="84"/>
                <w:vertAlign w:val="superscript"/>
              </w:rPr>
              <w:t>(7)</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1,388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2"/>
                <w:szCs w:val="12"/>
                <w:b w:val="1"/>
                <w:bCs w:val="1"/>
                <w:color w:val="auto"/>
                <w:w w:val="95"/>
              </w:rPr>
              <w:t>5. Number of</w:t>
            </w: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6. Date Exercisable and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5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5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7"/>
              </w:rPr>
              <w:t>Acquired (A)</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or Disposed</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5,982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1.31</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06/18/2020</w:t>
            </w:r>
          </w:p>
        </w:tc>
        <w:tc>
          <w:tcPr>
            <w:tcW w:w="1120" w:type="dxa"/>
            <w:vAlign w:val="bottom"/>
          </w:tcPr>
          <w:p>
            <w:pPr>
              <w:spacing w:after="0"/>
              <w:rPr>
                <w:sz w:val="11"/>
                <w:szCs w:val="11"/>
                <w:color w:val="auto"/>
              </w:rPr>
            </w:pPr>
          </w:p>
        </w:tc>
        <w:tc>
          <w:tcPr>
            <w:tcW w:w="40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gridSpan w:val="3"/>
          </w:tcPr>
          <w:p>
            <w:pPr>
              <w:ind w:left="80"/>
              <w:spacing w:after="0" w:line="138" w:lineRule="exact"/>
              <w:rPr>
                <w:sz w:val="20"/>
                <w:szCs w:val="20"/>
                <w:color w:val="auto"/>
              </w:rPr>
            </w:pPr>
            <w:r>
              <w:rPr>
                <w:rFonts w:ascii="Arial" w:cs="Arial" w:eastAsia="Arial" w:hAnsi="Arial"/>
                <w:sz w:val="13"/>
                <w:szCs w:val="13"/>
                <w:color w:val="0000FF"/>
                <w:w w:val="79"/>
              </w:rPr>
              <w:t>5,982</w:t>
            </w:r>
          </w:p>
        </w:tc>
        <w:tc>
          <w:tcPr>
            <w:tcW w:w="660" w:type="dxa"/>
            <w:vAlign w:val="bottom"/>
          </w:tcPr>
          <w:p>
            <w:pPr>
              <w:ind w:left="400"/>
              <w:spacing w:after="0"/>
              <w:rPr>
                <w:sz w:val="20"/>
                <w:szCs w:val="20"/>
                <w:color w:val="auto"/>
              </w:rPr>
            </w:pPr>
            <w:r>
              <w:rPr>
                <w:rFonts w:ascii="Arial" w:cs="Arial" w:eastAsia="Arial" w:hAnsi="Arial"/>
                <w:sz w:val="11"/>
                <w:szCs w:val="11"/>
                <w:color w:val="008000"/>
              </w:rPr>
              <w:t>(8)</w:t>
            </w:r>
          </w:p>
        </w:tc>
        <w:tc>
          <w:tcPr>
            <w:tcW w:w="840" w:type="dxa"/>
            <w:vAlign w:val="bottom"/>
          </w:tcPr>
          <w:p>
            <w:pPr>
              <w:ind w:left="260"/>
              <w:spacing w:after="0" w:line="138" w:lineRule="exact"/>
              <w:rPr>
                <w:sz w:val="20"/>
                <w:szCs w:val="20"/>
                <w:color w:val="auto"/>
              </w:rPr>
            </w:pPr>
            <w:r>
              <w:rPr>
                <w:rFonts w:ascii="Arial" w:cs="Arial" w:eastAsia="Arial" w:hAnsi="Arial"/>
                <w:sz w:val="13"/>
                <w:szCs w:val="13"/>
                <w:color w:val="0000FF"/>
                <w:w w:val="86"/>
              </w:rPr>
              <w:t>01/06/2028</w:t>
            </w: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978,398</w:t>
            </w:r>
          </w:p>
        </w:tc>
        <w:tc>
          <w:tcPr>
            <w:tcW w:w="60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gridSpan w:val="2"/>
          </w:tcPr>
          <w:p>
            <w:pPr>
              <w:jc w:val="center"/>
              <w:spacing w:after="0" w:line="158"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(9)</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840" w:type="dxa"/>
            <w:vAlign w:val="bottom"/>
            <w:vMerge w:val="restart"/>
          </w:tcPr>
          <w:p>
            <w:pPr>
              <w:jc w:val="right"/>
              <w:ind w:right="152"/>
              <w:spacing w:after="0"/>
              <w:rPr>
                <w:sz w:val="20"/>
                <w:szCs w:val="20"/>
                <w:color w:val="auto"/>
              </w:rPr>
            </w:pPr>
            <w:r>
              <w:rPr>
                <w:rFonts w:ascii="Arial" w:cs="Arial" w:eastAsia="Arial" w:hAnsi="Arial"/>
                <w:sz w:val="11"/>
                <w:szCs w:val="11"/>
                <w:color w:val="008000"/>
              </w:rPr>
              <w:t>(9)</w:t>
            </w:r>
          </w:p>
        </w:tc>
        <w:tc>
          <w:tcPr>
            <w:tcW w:w="74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5,982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06/18/2020</w:t>
            </w:r>
          </w:p>
        </w:tc>
        <w:tc>
          <w:tcPr>
            <w:tcW w:w="1120" w:type="dxa"/>
            <w:vAlign w:val="bottom"/>
          </w:tcPr>
          <w:p>
            <w:pPr>
              <w:spacing w:after="0"/>
              <w:rPr>
                <w:sz w:val="12"/>
                <w:szCs w:val="12"/>
                <w:color w:val="auto"/>
              </w:rPr>
            </w:pPr>
          </w:p>
        </w:tc>
        <w:tc>
          <w:tcPr>
            <w:tcW w:w="40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60"/>
              <w:spacing w:after="0" w:line="141" w:lineRule="exact"/>
              <w:rPr>
                <w:sz w:val="20"/>
                <w:szCs w:val="20"/>
                <w:color w:val="auto"/>
              </w:rPr>
            </w:pPr>
            <w:r>
              <w:rPr>
                <w:rFonts w:ascii="Arial" w:cs="Arial" w:eastAsia="Arial" w:hAnsi="Arial"/>
                <w:sz w:val="13"/>
                <w:szCs w:val="13"/>
                <w:color w:val="0000FF"/>
                <w:w w:val="98"/>
              </w:rPr>
              <w:t>5,982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81"/>
              <w:spacing w:after="0" w:line="141" w:lineRule="exact"/>
              <w:rPr>
                <w:sz w:val="20"/>
                <w:szCs w:val="20"/>
                <w:color w:val="auto"/>
              </w:rPr>
            </w:pPr>
            <w:r>
              <w:rPr>
                <w:rFonts w:ascii="Arial" w:cs="Arial" w:eastAsia="Arial" w:hAnsi="Arial"/>
                <w:sz w:val="13"/>
                <w:szCs w:val="13"/>
                <w:color w:val="0000FF"/>
                <w:w w:val="85"/>
              </w:rPr>
              <w:t>5,982</w:t>
            </w:r>
          </w:p>
        </w:tc>
        <w:tc>
          <w:tcPr>
            <w:tcW w:w="300" w:type="dxa"/>
            <w:vAlign w:val="bottom"/>
          </w:tcPr>
          <w:p>
            <w:pPr>
              <w:spacing w:after="0"/>
              <w:rPr>
                <w:sz w:val="12"/>
                <w:szCs w:val="12"/>
                <w:color w:val="auto"/>
              </w:rPr>
            </w:pP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840" w:type="dxa"/>
            <w:vAlign w:val="bottom"/>
            <w:vMerge w:val="restart"/>
          </w:tcPr>
          <w:p>
            <w:pPr>
              <w:jc w:val="right"/>
              <w:ind w:right="152"/>
              <w:spacing w:after="0"/>
              <w:rPr>
                <w:sz w:val="20"/>
                <w:szCs w:val="20"/>
                <w:color w:val="auto"/>
              </w:rPr>
            </w:pPr>
            <w:r>
              <w:rPr>
                <w:rFonts w:ascii="Arial" w:cs="Arial" w:eastAsia="Arial" w:hAnsi="Arial"/>
                <w:sz w:val="11"/>
                <w:szCs w:val="11"/>
                <w:color w:val="008000"/>
              </w:rPr>
              <w:t>(9)</w:t>
            </w:r>
          </w:p>
        </w:tc>
        <w:tc>
          <w:tcPr>
            <w:tcW w:w="74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5,982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06/18/2020</w:t>
            </w:r>
          </w:p>
        </w:tc>
        <w:tc>
          <w:tcPr>
            <w:tcW w:w="1120" w:type="dxa"/>
            <w:vAlign w:val="bottom"/>
          </w:tcPr>
          <w:p>
            <w:pPr>
              <w:spacing w:after="0"/>
              <w:rPr>
                <w:sz w:val="12"/>
                <w:szCs w:val="12"/>
                <w:color w:val="auto"/>
              </w:rPr>
            </w:pPr>
          </w:p>
        </w:tc>
        <w:tc>
          <w:tcPr>
            <w:tcW w:w="40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3"/>
          </w:tcPr>
          <w:p>
            <w:pPr>
              <w:ind w:left="80"/>
              <w:spacing w:after="0" w:line="141" w:lineRule="exact"/>
              <w:rPr>
                <w:sz w:val="20"/>
                <w:szCs w:val="20"/>
                <w:color w:val="auto"/>
              </w:rPr>
            </w:pPr>
            <w:r>
              <w:rPr>
                <w:rFonts w:ascii="Arial" w:cs="Arial" w:eastAsia="Arial" w:hAnsi="Arial"/>
                <w:sz w:val="13"/>
                <w:szCs w:val="13"/>
                <w:color w:val="0000FF"/>
                <w:w w:val="79"/>
              </w:rPr>
              <w:t>5,982</w:t>
            </w: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81"/>
              <w:spacing w:after="0" w:line="141"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00" w:firstLine="1"/>
        <w:spacing w:after="0" w:line="287"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694 shares of Class A Common Stock purchased pursuant to the Zoom Video Communications, Inc. 2019 Employee Stock Purchase Plan ("ESPP"), for the purchase period of December 13, 2019 to June 12, 2020. In accordance with the ESPP, these shares were purchased at a price equal to 85% of the closing price of Issuer's Class A Common Stock on April 17, 2019.</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$239.21 to $240.21.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$240.25 to $241.22.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$241.45 to $242.38.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$242.48 to $242.55.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70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jc w:val="both"/>
        <w:ind w:left="40" w:right="260" w:firstLine="1"/>
        <w:spacing w:after="0" w:line="301"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w:t>
      </w:r>
    </w:p>
    <w:p>
      <w:pPr>
        <w:sectPr>
          <w:pgSz w:w="11900" w:h="16852" w:orient="portrait"/>
          <w:cols w:equalWidth="0" w:num="1">
            <w:col w:w="11080"/>
          </w:cols>
          <w:pgMar w:left="460" w:top="221" w:right="359" w:bottom="0" w:gutter="0" w:footer="0" w:header="0"/>
          <w:type w:val="continuous"/>
        </w:sectPr>
      </w:pPr>
    </w:p>
    <w:bookmarkStart w:id="1" w:name="page2"/>
    <w:bookmarkEnd w:id="1"/>
    <w:p>
      <w:pPr>
        <w:spacing w:after="0" w:line="247" w:lineRule="auto"/>
        <w:rPr>
          <w:sz w:val="20"/>
          <w:szCs w:val="20"/>
          <w:color w:val="auto"/>
        </w:rPr>
      </w:pPr>
      <w:r>
        <w:rPr>
          <w:rFonts w:ascii="Arial" w:cs="Arial" w:eastAsia="Arial" w:hAnsi="Arial"/>
          <w:sz w:val="13"/>
          <w:szCs w:val="13"/>
          <w:color w:val="008000"/>
        </w:rPr>
        <w:t>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06/22/2020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20"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2020-06-22T17:39:39Z</dcterms:created>
  <dcterms:modified xsi:type="dcterms:W3CDTF">2020-06-22T17:39:39Z</dcterms:modified>
</cp:coreProperties>
</file>