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ind w:left="1560"/>
        <w:spacing w:after="0"/>
        <w:rPr>
          <w:sz w:val="20"/>
          <w:szCs w:val="20"/>
          <w:color w:val="auto"/>
        </w:rPr>
      </w:pPr>
      <w:r>
        <w:rPr>
          <w:rFonts w:ascii="Arial" w:cs="Arial" w:eastAsia="Arial" w:hAnsi="Arial"/>
          <w:sz w:val="22"/>
          <w:szCs w:val="22"/>
          <w:b w:val="1"/>
          <w:bCs w:val="1"/>
          <w:color w:val="auto"/>
        </w:rPr>
        <w:t>Information to be Included in Statements Filed Pursuant to § 240.13d-1(b), (c) and (d) and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Amendments Thereto Filed Pursuant to § 240.13d-2</w:t>
      </w:r>
    </w:p>
    <w:p>
      <w:pPr>
        <w:jc w:val="center"/>
        <w:ind w:right="-19"/>
        <w:spacing w:after="0" w:line="230" w:lineRule="auto"/>
        <w:rPr>
          <w:sz w:val="20"/>
          <w:szCs w:val="20"/>
          <w:color w:val="auto"/>
        </w:rPr>
      </w:pPr>
      <w:r>
        <w:rPr>
          <w:rFonts w:ascii="Arial" w:cs="Arial" w:eastAsia="Arial" w:hAnsi="Arial"/>
          <w:sz w:val="22"/>
          <w:szCs w:val="22"/>
          <w:b w:val="1"/>
          <w:bCs w:val="1"/>
          <w:color w:val="auto"/>
        </w:rPr>
        <w:t>Under the Securities Exchange Act of 1934</w:t>
      </w:r>
    </w:p>
    <w:p>
      <w:pPr>
        <w:spacing w:after="0" w:line="1" w:lineRule="exact"/>
        <w:rPr>
          <w:sz w:val="24"/>
          <w:szCs w:val="24"/>
          <w:color w:val="auto"/>
        </w:rPr>
      </w:pPr>
    </w:p>
    <w:p>
      <w:pPr>
        <w:jc w:val="center"/>
        <w:ind w:right="-3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ZOOM VIDEO COMMUNICATION,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98980L101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60" w:right="120" w:hanging="452"/>
        <w:spacing w:after="0" w:line="25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 w:lineRule="exact"/>
        <w:rPr>
          <w:sz w:val="24"/>
          <w:szCs w:val="24"/>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CUSIP number applies to the Issuer’s American depositary shares, each representing four Class A Ordinary Shares.</w:t>
      </w:r>
    </w:p>
    <w:p>
      <w:pPr>
        <w:spacing w:after="0" w:line="21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320" w:type="dxa"/>
            <w:vAlign w:val="bottom"/>
            <w:gridSpan w:val="7"/>
          </w:tcPr>
          <w:p>
            <w:pPr>
              <w:jc w:val="center"/>
              <w:ind w:right="620"/>
              <w:spacing w:after="0"/>
              <w:rPr>
                <w:sz w:val="20"/>
                <w:szCs w:val="20"/>
                <w:color w:val="auto"/>
              </w:rPr>
            </w:pPr>
            <w:r>
              <w:rPr>
                <w:rFonts w:ascii="Arial" w:cs="Arial" w:eastAsia="Arial" w:hAnsi="Arial"/>
                <w:sz w:val="18"/>
                <w:szCs w:val="18"/>
                <w:color w:val="auto"/>
                <w:w w:val="92"/>
              </w:rPr>
              <w:t>CUSIP No. 98980L101</w:t>
            </w:r>
          </w:p>
        </w:tc>
        <w:tc>
          <w:tcPr>
            <w:tcW w:w="6600" w:type="dxa"/>
            <w:vAlign w:val="bottom"/>
          </w:tcPr>
          <w:p>
            <w:pPr>
              <w:ind w:left="2880"/>
              <w:spacing w:after="0"/>
              <w:rPr>
                <w:sz w:val="20"/>
                <w:szCs w:val="20"/>
                <w:color w:val="auto"/>
              </w:rPr>
            </w:pPr>
            <w:r>
              <w:rPr>
                <w:rFonts w:ascii="Arial" w:cs="Arial" w:eastAsia="Arial" w:hAnsi="Arial"/>
                <w:sz w:val="18"/>
                <w:szCs w:val="18"/>
                <w:color w:val="auto"/>
              </w:rPr>
              <w:t>SCHEDULE 13G</w:t>
            </w:r>
          </w:p>
        </w:tc>
        <w:tc>
          <w:tcPr>
            <w:tcW w:w="2520" w:type="dxa"/>
            <w:vAlign w:val="bottom"/>
          </w:tcPr>
          <w:p>
            <w:pPr>
              <w:ind w:left="1140"/>
              <w:spacing w:after="0"/>
              <w:rPr>
                <w:sz w:val="20"/>
                <w:szCs w:val="20"/>
                <w:color w:val="auto"/>
              </w:rPr>
            </w:pPr>
            <w:r>
              <w:rPr>
                <w:rFonts w:ascii="Arial" w:cs="Arial" w:eastAsia="Arial" w:hAnsi="Arial"/>
                <w:sz w:val="18"/>
                <w:szCs w:val="18"/>
                <w:color w:val="auto"/>
                <w:w w:val="84"/>
              </w:rPr>
              <w:t>Page 2 of 16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780" w:type="dxa"/>
            <w:vAlign w:val="bottom"/>
            <w:tcBorders>
              <w:bottom w:val="single" w:sz="8" w:color="auto"/>
            </w:tcBorders>
            <w:gridSpan w:val="2"/>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auto"/>
            </w:tcBorders>
          </w:tcPr>
          <w:p>
            <w:pPr>
              <w:spacing w:after="0"/>
              <w:rPr>
                <w:sz w:val="19"/>
                <w:szCs w:val="19"/>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SEQUOIA CAPITAL U.S. GROWTH FUND V, L.P. (“SC USGF V”)</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836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00" w:type="dxa"/>
            <w:vAlign w:val="bottom"/>
            <w:gridSpan w:val="3"/>
          </w:tcPr>
          <w:p>
            <w:pPr>
              <w:jc w:val="right"/>
              <w:ind w:right="3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6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760" w:type="dxa"/>
            <w:vAlign w:val="bottom"/>
            <w:gridSpan w:val="4"/>
          </w:tcPr>
          <w:p>
            <w:pPr>
              <w:ind w:left="160"/>
              <w:spacing w:after="0"/>
              <w:rPr>
                <w:sz w:val="20"/>
                <w:szCs w:val="20"/>
                <w:color w:val="auto"/>
              </w:rPr>
            </w:pPr>
            <w:r>
              <w:rPr>
                <w:rFonts w:ascii="Arial" w:cs="Arial" w:eastAsia="Arial" w:hAnsi="Arial"/>
                <w:sz w:val="18"/>
                <w:szCs w:val="18"/>
                <w:color w:val="auto"/>
              </w:rPr>
              <w:t>SEC USE ONLY</w:t>
            </w:r>
          </w:p>
        </w:tc>
        <w:tc>
          <w:tcPr>
            <w:tcW w:w="6600" w:type="dxa"/>
            <w:vAlign w:val="bottom"/>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780" w:type="dxa"/>
            <w:vAlign w:val="bottom"/>
            <w:tcBorders>
              <w:bottom w:val="single" w:sz="8" w:color="auto"/>
            </w:tcBorders>
            <w:gridSpan w:val="2"/>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9"/>
              </w:rPr>
              <w:t>CAYMAN ISLANDS</w:t>
            </w: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0" w:type="dxa"/>
            <w:vAlign w:val="bottom"/>
            <w:vMerge w:val="restart"/>
          </w:tcPr>
          <w:p>
            <w:pPr>
              <w:spacing w:after="0"/>
              <w:rPr>
                <w:sz w:val="20"/>
                <w:szCs w:val="20"/>
                <w:color w:val="auto"/>
              </w:rPr>
            </w:pPr>
            <w:r>
              <w:rPr>
                <w:rFonts w:ascii="Arial" w:cs="Arial" w:eastAsia="Arial" w:hAnsi="Arial"/>
                <w:sz w:val="18"/>
                <w:szCs w:val="18"/>
                <w:color w:val="auto"/>
              </w:rPr>
              <w:t>155,630</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vMerge w:val="continue"/>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23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5"/>
                <w:szCs w:val="15"/>
                <w:color w:val="auto"/>
              </w:rPr>
            </w:pPr>
          </w:p>
        </w:tc>
        <w:tc>
          <w:tcPr>
            <w:tcW w:w="660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2"/>
                <w:szCs w:val="12"/>
                <w:color w:val="auto"/>
              </w:rPr>
            </w:pPr>
          </w:p>
        </w:tc>
        <w:tc>
          <w:tcPr>
            <w:tcW w:w="660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6600" w:type="dxa"/>
            <w:vAlign w:val="bottom"/>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155,630</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20"/>
                <w:szCs w:val="20"/>
                <w:color w:val="auto"/>
              </w:rPr>
            </w:pPr>
          </w:p>
        </w:tc>
        <w:tc>
          <w:tcPr>
            <w:tcW w:w="8360" w:type="dxa"/>
            <w:vAlign w:val="bottom"/>
            <w:gridSpan w:val="5"/>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155,630</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20"/>
                <w:szCs w:val="20"/>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 w:type="dxa"/>
            <w:vAlign w:val="bottom"/>
            <w:tcBorders>
              <w:left w:val="single" w:sz="8" w:color="auto"/>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11</w:t>
            </w: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0.1%</w:t>
            </w:r>
            <w:r>
              <w:rPr>
                <w:rFonts w:ascii="Arial" w:cs="Arial" w:eastAsia="Arial" w:hAnsi="Arial"/>
                <w:sz w:val="15"/>
                <w:szCs w:val="15"/>
                <w:color w:val="auto"/>
              </w:rPr>
              <w:t>1</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20"/>
                <w:szCs w:val="20"/>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2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Based on a total of 111,794,527 shares outstanding as of November 22, 2019, as reported in the Issuer’s Quarterly Report on Form10-Q filed with the Securities and Exchange Commission on December 9, 2019.</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320" w:type="dxa"/>
            <w:vAlign w:val="bottom"/>
            <w:gridSpan w:val="7"/>
          </w:tcPr>
          <w:p>
            <w:pPr>
              <w:jc w:val="center"/>
              <w:ind w:right="620"/>
              <w:spacing w:after="0"/>
              <w:rPr>
                <w:sz w:val="20"/>
                <w:szCs w:val="20"/>
                <w:color w:val="auto"/>
              </w:rPr>
            </w:pPr>
            <w:r>
              <w:rPr>
                <w:rFonts w:ascii="Arial" w:cs="Arial" w:eastAsia="Arial" w:hAnsi="Arial"/>
                <w:sz w:val="18"/>
                <w:szCs w:val="18"/>
                <w:color w:val="auto"/>
                <w:w w:val="92"/>
              </w:rPr>
              <w:t>CUSIP No. 98980L101</w:t>
            </w:r>
          </w:p>
        </w:tc>
        <w:tc>
          <w:tcPr>
            <w:tcW w:w="6600" w:type="dxa"/>
            <w:vAlign w:val="bottom"/>
          </w:tcPr>
          <w:p>
            <w:pPr>
              <w:ind w:left="2880"/>
              <w:spacing w:after="0"/>
              <w:rPr>
                <w:sz w:val="20"/>
                <w:szCs w:val="20"/>
                <w:color w:val="auto"/>
              </w:rPr>
            </w:pPr>
            <w:r>
              <w:rPr>
                <w:rFonts w:ascii="Arial" w:cs="Arial" w:eastAsia="Arial" w:hAnsi="Arial"/>
                <w:sz w:val="18"/>
                <w:szCs w:val="18"/>
                <w:color w:val="auto"/>
              </w:rPr>
              <w:t>SCHEDULE 13G</w:t>
            </w:r>
          </w:p>
        </w:tc>
        <w:tc>
          <w:tcPr>
            <w:tcW w:w="2520" w:type="dxa"/>
            <w:vAlign w:val="bottom"/>
          </w:tcPr>
          <w:p>
            <w:pPr>
              <w:ind w:left="1140"/>
              <w:spacing w:after="0"/>
              <w:rPr>
                <w:sz w:val="20"/>
                <w:szCs w:val="20"/>
                <w:color w:val="auto"/>
              </w:rPr>
            </w:pPr>
            <w:r>
              <w:rPr>
                <w:rFonts w:ascii="Arial" w:cs="Arial" w:eastAsia="Arial" w:hAnsi="Arial"/>
                <w:sz w:val="18"/>
                <w:szCs w:val="18"/>
                <w:color w:val="auto"/>
                <w:w w:val="84"/>
              </w:rPr>
              <w:t>Page 3 of 16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780" w:type="dxa"/>
            <w:vAlign w:val="bottom"/>
            <w:tcBorders>
              <w:bottom w:val="single" w:sz="8" w:color="auto"/>
            </w:tcBorders>
            <w:gridSpan w:val="2"/>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auto"/>
            </w:tcBorders>
          </w:tcPr>
          <w:p>
            <w:pPr>
              <w:spacing w:after="0"/>
              <w:rPr>
                <w:sz w:val="19"/>
                <w:szCs w:val="19"/>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SCGF V MANAGEMENT, L.P. (“SCGF V MGMT”)</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836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00" w:type="dxa"/>
            <w:vAlign w:val="bottom"/>
            <w:gridSpan w:val="3"/>
          </w:tcPr>
          <w:p>
            <w:pPr>
              <w:jc w:val="right"/>
              <w:ind w:right="3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6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760" w:type="dxa"/>
            <w:vAlign w:val="bottom"/>
            <w:gridSpan w:val="4"/>
          </w:tcPr>
          <w:p>
            <w:pPr>
              <w:ind w:left="160"/>
              <w:spacing w:after="0"/>
              <w:rPr>
                <w:sz w:val="20"/>
                <w:szCs w:val="20"/>
                <w:color w:val="auto"/>
              </w:rPr>
            </w:pPr>
            <w:r>
              <w:rPr>
                <w:rFonts w:ascii="Arial" w:cs="Arial" w:eastAsia="Arial" w:hAnsi="Arial"/>
                <w:sz w:val="18"/>
                <w:szCs w:val="18"/>
                <w:color w:val="auto"/>
              </w:rPr>
              <w:t>SEC USE ONLY</w:t>
            </w:r>
          </w:p>
        </w:tc>
        <w:tc>
          <w:tcPr>
            <w:tcW w:w="6600" w:type="dxa"/>
            <w:vAlign w:val="bottom"/>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780" w:type="dxa"/>
            <w:vAlign w:val="bottom"/>
            <w:tcBorders>
              <w:bottom w:val="single" w:sz="8" w:color="auto"/>
            </w:tcBorders>
            <w:gridSpan w:val="2"/>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9"/>
              </w:rPr>
              <w:t>CAYMAN ISLANDS</w:t>
            </w: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0" w:type="dxa"/>
            <w:vAlign w:val="bottom"/>
            <w:tcBorders>
              <w:left w:val="single" w:sz="8" w:color="auto"/>
            </w:tcBorders>
          </w:tcPr>
          <w:p>
            <w:pPr>
              <w:spacing w:after="0"/>
              <w:rPr>
                <w:sz w:val="21"/>
                <w:szCs w:val="21"/>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1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w w:val="91"/>
              </w:rPr>
              <w:t>155,630 shares, of which 155,630 shares of Class B common stock are directly owned by SC USGF V. The General Partner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Borders>
              <w:left w:val="single" w:sz="8" w:color="auto"/>
            </w:tcBorders>
            <w:gridSpan w:val="3"/>
          </w:tcPr>
          <w:p>
            <w:pPr>
              <w:ind w:left="240"/>
              <w:spacing w:after="0" w:line="202" w:lineRule="exact"/>
              <w:rPr>
                <w:sz w:val="20"/>
                <w:szCs w:val="20"/>
                <w:color w:val="auto"/>
              </w:rPr>
            </w:pPr>
            <w:r>
              <w:rPr>
                <w:rFonts w:ascii="Arial" w:cs="Arial" w:eastAsia="Arial" w:hAnsi="Arial"/>
                <w:sz w:val="18"/>
                <w:szCs w:val="18"/>
                <w:color w:val="auto"/>
                <w:w w:val="97"/>
              </w:rPr>
              <w:t>BENEFICIALLY</w:t>
            </w:r>
          </w:p>
        </w:tc>
        <w:tc>
          <w:tcPr>
            <w:tcW w:w="8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12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0" w:type="dxa"/>
            <w:vAlign w:val="bottom"/>
            <w:tcBorders>
              <w:left w:val="single" w:sz="8" w:color="auto"/>
            </w:tcBorders>
          </w:tcPr>
          <w:p>
            <w:pPr>
              <w:spacing w:after="0"/>
              <w:rPr>
                <w:sz w:val="21"/>
                <w:szCs w:val="21"/>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 SC USGF V is SCGF V MGMT.</w:t>
            </w: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23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5"/>
                <w:szCs w:val="15"/>
                <w:color w:val="auto"/>
              </w:rPr>
            </w:pPr>
          </w:p>
        </w:tc>
        <w:tc>
          <w:tcPr>
            <w:tcW w:w="660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2"/>
                <w:szCs w:val="12"/>
                <w:color w:val="auto"/>
              </w:rPr>
            </w:pPr>
          </w:p>
        </w:tc>
        <w:tc>
          <w:tcPr>
            <w:tcW w:w="660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6600" w:type="dxa"/>
            <w:vAlign w:val="bottom"/>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1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155,630 shares, of which 155,630 shares of Class B common stock are directly owned by SC USGF V. The General Partner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 SC USGF V is SCGF V MGMT.</w:t>
            </w: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20"/>
                <w:szCs w:val="20"/>
                <w:color w:val="auto"/>
              </w:rPr>
            </w:pPr>
          </w:p>
        </w:tc>
        <w:tc>
          <w:tcPr>
            <w:tcW w:w="8360" w:type="dxa"/>
            <w:vAlign w:val="bottom"/>
            <w:gridSpan w:val="5"/>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155,630</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20"/>
                <w:szCs w:val="20"/>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auto"/>
            </w:tcBorders>
          </w:tcPr>
          <w:p>
            <w:pPr>
              <w:spacing w:after="0"/>
              <w:rPr>
                <w:sz w:val="19"/>
                <w:szCs w:val="19"/>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0.1%</w:t>
            </w:r>
            <w:r>
              <w:rPr>
                <w:rFonts w:ascii="Arial" w:cs="Arial" w:eastAsia="Arial" w:hAnsi="Arial"/>
                <w:sz w:val="15"/>
                <w:szCs w:val="15"/>
                <w:color w:val="auto"/>
              </w:rPr>
              <w:t>1</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20"/>
                <w:szCs w:val="20"/>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20" w:hanging="452"/>
        <w:spacing w:after="0" w:line="27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Based on a total of 111,794,527 shares outstanding as of November 22, 2019, as reported in the Issuer’s Quarterly Report on Form10-Q filed with the Securities and Exchange Commission on December 9, 2019.</w:t>
      </w:r>
    </w:p>
    <w:p>
      <w:pPr>
        <w:sectPr>
          <w:pgSz w:w="11900" w:h="16838" w:orient="portrait"/>
          <w:cols w:equalWidth="0" w:num="1">
            <w:col w:w="11440"/>
          </w:cols>
          <w:pgMar w:left="240" w:top="27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320" w:type="dxa"/>
            <w:vAlign w:val="bottom"/>
            <w:gridSpan w:val="7"/>
          </w:tcPr>
          <w:p>
            <w:pPr>
              <w:jc w:val="center"/>
              <w:ind w:right="620"/>
              <w:spacing w:after="0"/>
              <w:rPr>
                <w:sz w:val="20"/>
                <w:szCs w:val="20"/>
                <w:color w:val="auto"/>
              </w:rPr>
            </w:pPr>
            <w:r>
              <w:rPr>
                <w:rFonts w:ascii="Arial" w:cs="Arial" w:eastAsia="Arial" w:hAnsi="Arial"/>
                <w:sz w:val="18"/>
                <w:szCs w:val="18"/>
                <w:color w:val="auto"/>
                <w:w w:val="92"/>
              </w:rPr>
              <w:t>CUSIP No. 98980L101</w:t>
            </w:r>
          </w:p>
        </w:tc>
        <w:tc>
          <w:tcPr>
            <w:tcW w:w="6600" w:type="dxa"/>
            <w:vAlign w:val="bottom"/>
          </w:tcPr>
          <w:p>
            <w:pPr>
              <w:ind w:left="2880"/>
              <w:spacing w:after="0"/>
              <w:rPr>
                <w:sz w:val="20"/>
                <w:szCs w:val="20"/>
                <w:color w:val="auto"/>
              </w:rPr>
            </w:pPr>
            <w:r>
              <w:rPr>
                <w:rFonts w:ascii="Arial" w:cs="Arial" w:eastAsia="Arial" w:hAnsi="Arial"/>
                <w:sz w:val="18"/>
                <w:szCs w:val="18"/>
                <w:color w:val="auto"/>
              </w:rPr>
              <w:t>SCHEDULE 13G</w:t>
            </w:r>
          </w:p>
        </w:tc>
        <w:tc>
          <w:tcPr>
            <w:tcW w:w="2520" w:type="dxa"/>
            <w:vAlign w:val="bottom"/>
          </w:tcPr>
          <w:p>
            <w:pPr>
              <w:ind w:left="1140"/>
              <w:spacing w:after="0"/>
              <w:rPr>
                <w:sz w:val="20"/>
                <w:szCs w:val="20"/>
                <w:color w:val="auto"/>
              </w:rPr>
            </w:pPr>
            <w:r>
              <w:rPr>
                <w:rFonts w:ascii="Arial" w:cs="Arial" w:eastAsia="Arial" w:hAnsi="Arial"/>
                <w:sz w:val="18"/>
                <w:szCs w:val="18"/>
                <w:color w:val="auto"/>
                <w:w w:val="84"/>
              </w:rPr>
              <w:t>Page 4 of 16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780" w:type="dxa"/>
            <w:vAlign w:val="bottom"/>
            <w:tcBorders>
              <w:bottom w:val="single" w:sz="8" w:color="auto"/>
            </w:tcBorders>
            <w:gridSpan w:val="2"/>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auto"/>
            </w:tcBorders>
          </w:tcPr>
          <w:p>
            <w:pPr>
              <w:spacing w:after="0"/>
              <w:rPr>
                <w:sz w:val="19"/>
                <w:szCs w:val="19"/>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SEQUOIA CAPITAL U.S. GROWTH FUND VII, L.P. (“SC USGF VII”)</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836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8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80" w:type="dxa"/>
            <w:vAlign w:val="bottom"/>
            <w:gridSpan w:val="3"/>
          </w:tcPr>
          <w:p>
            <w:pPr>
              <w:jc w:val="right"/>
              <w:ind w:right="32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66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760" w:type="dxa"/>
            <w:vAlign w:val="bottom"/>
            <w:gridSpan w:val="4"/>
          </w:tcPr>
          <w:p>
            <w:pPr>
              <w:ind w:left="160"/>
              <w:spacing w:after="0"/>
              <w:rPr>
                <w:sz w:val="20"/>
                <w:szCs w:val="20"/>
                <w:color w:val="auto"/>
              </w:rPr>
            </w:pPr>
            <w:r>
              <w:rPr>
                <w:rFonts w:ascii="Arial" w:cs="Arial" w:eastAsia="Arial" w:hAnsi="Arial"/>
                <w:sz w:val="18"/>
                <w:szCs w:val="18"/>
                <w:color w:val="auto"/>
              </w:rPr>
              <w:t>SEC USE ONLY</w:t>
            </w:r>
          </w:p>
        </w:tc>
        <w:tc>
          <w:tcPr>
            <w:tcW w:w="6600" w:type="dxa"/>
            <w:vAlign w:val="bottom"/>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780" w:type="dxa"/>
            <w:vAlign w:val="bottom"/>
            <w:tcBorders>
              <w:bottom w:val="single" w:sz="8" w:color="auto"/>
            </w:tcBorders>
            <w:gridSpan w:val="2"/>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9"/>
              </w:rPr>
              <w:t>CAYMAN ISLANDS</w:t>
            </w: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0" w:type="dxa"/>
            <w:vAlign w:val="bottom"/>
            <w:gridSpan w:val="2"/>
          </w:tcPr>
          <w:p>
            <w:pPr>
              <w:jc w:val="center"/>
              <w:ind w:right="30"/>
              <w:spacing w:after="0"/>
              <w:rPr>
                <w:sz w:val="20"/>
                <w:szCs w:val="20"/>
                <w:color w:val="auto"/>
              </w:rPr>
            </w:pPr>
            <w:r>
              <w:rPr>
                <w:rFonts w:ascii="Arial" w:cs="Arial" w:eastAsia="Arial" w:hAnsi="Arial"/>
                <w:sz w:val="18"/>
                <w:szCs w:val="18"/>
                <w:color w:val="auto"/>
                <w:w w:val="96"/>
              </w:rPr>
              <w:t>NUMBER OF</w:t>
            </w:r>
          </w:p>
        </w:tc>
        <w:tc>
          <w:tcPr>
            <w:tcW w:w="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0" w:type="dxa"/>
            <w:vAlign w:val="bottom"/>
            <w:gridSpan w:val="2"/>
          </w:tcPr>
          <w:p>
            <w:pPr>
              <w:jc w:val="center"/>
              <w:ind w:right="30"/>
              <w:spacing w:after="0"/>
              <w:rPr>
                <w:sz w:val="20"/>
                <w:szCs w:val="20"/>
                <w:color w:val="auto"/>
              </w:rPr>
            </w:pPr>
            <w:r>
              <w:rPr>
                <w:rFonts w:ascii="Arial" w:cs="Arial" w:eastAsia="Arial" w:hAnsi="Arial"/>
                <w:sz w:val="18"/>
                <w:szCs w:val="18"/>
                <w:color w:val="auto"/>
                <w:w w:val="91"/>
              </w:rPr>
              <w:t>SHARES</w:t>
            </w:r>
          </w:p>
        </w:tc>
        <w:tc>
          <w:tcPr>
            <w:tcW w:w="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left w:val="single" w:sz="8" w:color="auto"/>
            </w:tcBorders>
            <w:gridSpan w:val="3"/>
          </w:tcPr>
          <w:p>
            <w:pPr>
              <w:ind w:left="240"/>
              <w:spacing w:after="0"/>
              <w:rPr>
                <w:sz w:val="20"/>
                <w:szCs w:val="20"/>
                <w:color w:val="auto"/>
              </w:rPr>
            </w:pPr>
            <w:r>
              <w:rPr>
                <w:rFonts w:ascii="Arial" w:cs="Arial" w:eastAsia="Arial" w:hAnsi="Arial"/>
                <w:sz w:val="18"/>
                <w:szCs w:val="18"/>
                <w:color w:val="auto"/>
                <w:w w:val="99"/>
              </w:rPr>
              <w:t>BENEFICIALLY</w:t>
            </w:r>
          </w:p>
        </w:tc>
        <w:tc>
          <w:tcPr>
            <w:tcW w:w="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0" w:type="dxa"/>
            <w:vAlign w:val="bottom"/>
            <w:vMerge w:val="restart"/>
          </w:tcPr>
          <w:p>
            <w:pPr>
              <w:spacing w:after="0"/>
              <w:rPr>
                <w:sz w:val="20"/>
                <w:szCs w:val="20"/>
                <w:color w:val="auto"/>
              </w:rPr>
            </w:pPr>
            <w:r>
              <w:rPr>
                <w:rFonts w:ascii="Arial" w:cs="Arial" w:eastAsia="Arial" w:hAnsi="Arial"/>
                <w:sz w:val="18"/>
                <w:szCs w:val="18"/>
                <w:color w:val="auto"/>
              </w:rPr>
              <w:t>15,053,148</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0" w:type="dxa"/>
            <w:vAlign w:val="bottom"/>
            <w:gridSpan w:val="2"/>
          </w:tcPr>
          <w:p>
            <w:pPr>
              <w:jc w:val="center"/>
              <w:ind w:right="30"/>
              <w:spacing w:after="0"/>
              <w:rPr>
                <w:sz w:val="20"/>
                <w:szCs w:val="20"/>
                <w:color w:val="auto"/>
              </w:rPr>
            </w:pPr>
            <w:r>
              <w:rPr>
                <w:rFonts w:ascii="Arial" w:cs="Arial" w:eastAsia="Arial" w:hAnsi="Arial"/>
                <w:sz w:val="18"/>
                <w:szCs w:val="18"/>
                <w:color w:val="auto"/>
                <w:w w:val="97"/>
              </w:rPr>
              <w:t>OWNED BY</w:t>
            </w:r>
          </w:p>
        </w:tc>
        <w:tc>
          <w:tcPr>
            <w:tcW w:w="6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vMerge w:val="continue"/>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250"/>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5"/>
                <w:szCs w:val="15"/>
                <w:color w:val="auto"/>
              </w:rPr>
            </w:pPr>
          </w:p>
        </w:tc>
        <w:tc>
          <w:tcPr>
            <w:tcW w:w="660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20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REPORTING</w:t>
            </w:r>
          </w:p>
        </w:tc>
        <w:tc>
          <w:tcPr>
            <w:tcW w:w="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20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PERSON</w:t>
            </w:r>
          </w:p>
        </w:tc>
        <w:tc>
          <w:tcPr>
            <w:tcW w:w="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jc w:val="center"/>
              <w:ind w:right="250"/>
              <w:spacing w:after="0"/>
              <w:rPr>
                <w:sz w:val="20"/>
                <w:szCs w:val="20"/>
                <w:color w:val="auto"/>
              </w:rPr>
            </w:pPr>
            <w:r>
              <w:rPr>
                <w:rFonts w:ascii="Arial" w:cs="Arial" w:eastAsia="Arial" w:hAnsi="Arial"/>
                <w:sz w:val="18"/>
                <w:szCs w:val="18"/>
                <w:color w:val="auto"/>
              </w:rPr>
              <w:t>WITH</w:t>
            </w:r>
          </w:p>
        </w:tc>
        <w:tc>
          <w:tcPr>
            <w:tcW w:w="60" w:type="dxa"/>
            <w:vAlign w:val="bottom"/>
            <w:tcBorders>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2"/>
                <w:szCs w:val="12"/>
                <w:color w:val="auto"/>
              </w:rPr>
            </w:pPr>
          </w:p>
        </w:tc>
        <w:tc>
          <w:tcPr>
            <w:tcW w:w="660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6600" w:type="dxa"/>
            <w:vAlign w:val="bottom"/>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15,053,148</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20"/>
                <w:szCs w:val="20"/>
                <w:color w:val="auto"/>
              </w:rPr>
            </w:pPr>
          </w:p>
        </w:tc>
        <w:tc>
          <w:tcPr>
            <w:tcW w:w="8360" w:type="dxa"/>
            <w:vAlign w:val="bottom"/>
            <w:gridSpan w:val="5"/>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8"/>
              </w:rPr>
              <w:t>15,053,148</w:t>
            </w: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20"/>
                <w:szCs w:val="20"/>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 w:type="dxa"/>
            <w:vAlign w:val="bottom"/>
            <w:tcBorders>
              <w:left w:val="single" w:sz="8" w:color="auto"/>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11</w:t>
            </w: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11.9%</w:t>
            </w:r>
            <w:r>
              <w:rPr>
                <w:rFonts w:ascii="Arial" w:cs="Arial" w:eastAsia="Arial" w:hAnsi="Arial"/>
                <w:sz w:val="15"/>
                <w:szCs w:val="15"/>
                <w:color w:val="auto"/>
              </w:rPr>
              <w:t>1</w:t>
            </w: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20"/>
                <w:szCs w:val="20"/>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20" w:hanging="452"/>
        <w:spacing w:after="0" w:line="277"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Based on a total of 111,794,527 shares outstanding as of November 22, 2019, as reported in the Issuer’s Quarterly Report on Form10-Q filed with the Securities and Exchange Commission on December 9, 2019.</w:t>
      </w:r>
    </w:p>
    <w:p>
      <w:pPr>
        <w:sectPr>
          <w:pgSz w:w="11900" w:h="16838" w:orient="portrait"/>
          <w:cols w:equalWidth="0" w:num="1">
            <w:col w:w="11440"/>
          </w:cols>
          <w:pgMar w:left="240" w:top="274" w:right="219" w:bottom="1440" w:gutter="0" w:footer="0" w:header="0"/>
        </w:sectPr>
      </w:pPr>
    </w:p>
    <w:bookmarkStart w:id="4" w:name="page5"/>
    <w:bookmarkEnd w:id="4"/>
    <w:p>
      <w:pPr>
        <w:spacing w:after="0"/>
        <w:tabs>
          <w:tab w:leader="none" w:pos="518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 of 16 Pages</w:t>
      </w:r>
    </w:p>
    <w:p>
      <w:pPr>
        <w:spacing w:after="0" w:line="171" w:lineRule="exact"/>
        <w:rPr>
          <w:sz w:val="20"/>
          <w:szCs w:val="20"/>
          <w:color w:val="auto"/>
        </w:rPr>
      </w:pPr>
    </w:p>
    <w:p>
      <w:pPr>
        <w:ind w:left="720" w:hanging="465"/>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22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5222875"/>
                    </a:xfrm>
                    <a:prstGeom prst="rect">
                      <a:avLst/>
                    </a:prstGeom>
                    <a:noFill/>
                  </pic:spPr>
                </pic:pic>
              </a:graphicData>
            </a:graphic>
          </wp:anchor>
        </w:drawing>
      </w:r>
    </w:p>
    <w:p>
      <w:pPr>
        <w:spacing w:after="0" w:line="2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SEQUOIA CAPITAL U.S. GROWTH VII PRINCIPALS FUND, L.P. (“SC USGF VII PF”)</w:t>
      </w:r>
    </w:p>
    <w:p>
      <w:pPr>
        <w:spacing w:after="0" w:line="36" w:lineRule="exact"/>
        <w:rPr>
          <w:sz w:val="20"/>
          <w:szCs w:val="20"/>
          <w:color w:val="auto"/>
        </w:rPr>
      </w:pPr>
    </w:p>
    <w:p>
      <w:pPr>
        <w:ind w:left="720" w:hanging="465"/>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2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20" w:hanging="465"/>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20" w:hanging="465"/>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spacing w:after="0"/>
              <w:rPr>
                <w:sz w:val="21"/>
                <w:szCs w:val="21"/>
                <w:color w:val="auto"/>
              </w:rPr>
            </w:pPr>
          </w:p>
        </w:tc>
        <w:tc>
          <w:tcPr>
            <w:tcW w:w="9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2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580" w:type="dxa"/>
            <w:vAlign w:val="bottom"/>
          </w:tcPr>
          <w:p>
            <w:pPr>
              <w:spacing w:after="0"/>
              <w:rPr>
                <w:sz w:val="18"/>
                <w:szCs w:val="18"/>
                <w:color w:val="auto"/>
              </w:rPr>
            </w:pPr>
          </w:p>
        </w:tc>
        <w:tc>
          <w:tcPr>
            <w:tcW w:w="9280" w:type="dxa"/>
            <w:vAlign w:val="bottom"/>
            <w:vMerge w:val="restart"/>
          </w:tcPr>
          <w:p>
            <w:pPr>
              <w:ind w:left="160"/>
              <w:spacing w:after="0"/>
              <w:rPr>
                <w:sz w:val="20"/>
                <w:szCs w:val="20"/>
                <w:color w:val="auto"/>
              </w:rPr>
            </w:pPr>
            <w:r>
              <w:rPr>
                <w:rFonts w:ascii="Arial" w:cs="Arial" w:eastAsia="Arial" w:hAnsi="Arial"/>
                <w:sz w:val="18"/>
                <w:szCs w:val="18"/>
                <w:color w:val="auto"/>
              </w:rPr>
              <w:t>979,599</w:t>
            </w:r>
          </w:p>
        </w:tc>
        <w:tc>
          <w:tcPr>
            <w:tcW w:w="0" w:type="dxa"/>
            <w:vAlign w:val="bottom"/>
          </w:tcPr>
          <w:p>
            <w:pPr>
              <w:spacing w:after="0"/>
              <w:rPr>
                <w:sz w:val="1"/>
                <w:szCs w:val="1"/>
                <w:color w:val="auto"/>
              </w:rPr>
            </w:pPr>
          </w:p>
        </w:tc>
      </w:tr>
      <w:tr>
        <w:trPr>
          <w:trHeight w:val="230"/>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580" w:type="dxa"/>
            <w:vAlign w:val="bottom"/>
            <w:tcBorders>
              <w:bottom w:val="single" w:sz="8" w:color="auto"/>
            </w:tcBorders>
          </w:tcPr>
          <w:p>
            <w:pPr>
              <w:spacing w:after="0"/>
              <w:rPr>
                <w:sz w:val="20"/>
                <w:szCs w:val="20"/>
                <w:color w:val="auto"/>
              </w:rPr>
            </w:pPr>
          </w:p>
        </w:tc>
        <w:tc>
          <w:tcPr>
            <w:tcW w:w="9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2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58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2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580" w:type="dxa"/>
            <w:vAlign w:val="bottom"/>
          </w:tcPr>
          <w:p>
            <w:pPr>
              <w:spacing w:after="0"/>
              <w:rPr>
                <w:sz w:val="18"/>
                <w:szCs w:val="18"/>
                <w:color w:val="auto"/>
              </w:rPr>
            </w:pPr>
          </w:p>
        </w:tc>
        <w:tc>
          <w:tcPr>
            <w:tcW w:w="92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tcBorders>
          </w:tcPr>
          <w:p>
            <w:pPr>
              <w:spacing w:after="0"/>
              <w:rPr>
                <w:sz w:val="5"/>
                <w:szCs w:val="5"/>
                <w:color w:val="auto"/>
              </w:rPr>
            </w:pPr>
          </w:p>
        </w:tc>
        <w:tc>
          <w:tcPr>
            <w:tcW w:w="9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5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2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9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979,599</w:t>
      </w:r>
    </w:p>
    <w:p>
      <w:pPr>
        <w:spacing w:after="0" w:line="36" w:lineRule="exact"/>
        <w:rPr>
          <w:sz w:val="20"/>
          <w:szCs w:val="20"/>
          <w:color w:val="auto"/>
        </w:rPr>
      </w:pPr>
    </w:p>
    <w:p>
      <w:pPr>
        <w:ind w:left="700" w:hanging="445"/>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979,599</w:t>
      </w:r>
    </w:p>
    <w:p>
      <w:pPr>
        <w:spacing w:after="0" w:line="36" w:lineRule="exact"/>
        <w:rPr>
          <w:sz w:val="20"/>
          <w:szCs w:val="20"/>
          <w:color w:val="auto"/>
        </w:rPr>
      </w:pPr>
    </w:p>
    <w:p>
      <w:pPr>
        <w:ind w:left="720" w:hanging="555"/>
        <w:spacing w:after="0"/>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7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20" w:right="5780" w:hanging="555"/>
        <w:spacing w:after="0" w:line="402"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0.9%</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720" w:right="8220" w:hanging="555"/>
        <w:spacing w:after="0" w:line="548" w:lineRule="auto"/>
        <w:tabs>
          <w:tab w:leader="none" w:pos="71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PN</w:t>
      </w:r>
    </w:p>
    <w:p>
      <w:pPr>
        <w:ind w:left="460" w:right="220" w:hanging="446"/>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Based on a total of 111,794,527 shares outstanding as of November 22, 2019, as reported in the Issuer’s Quarterly Report on Form10-Q filed with the Securities and Exchange Commission on December 9, 2019.</w:t>
      </w:r>
    </w:p>
    <w:p>
      <w:pPr>
        <w:sectPr>
          <w:pgSz w:w="11900" w:h="16838" w:orient="portrait"/>
          <w:cols w:equalWidth="0" w:num="1">
            <w:col w:w="11440"/>
          </w:cols>
          <w:pgMar w:left="240" w:top="274"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320" w:type="dxa"/>
            <w:vAlign w:val="bottom"/>
            <w:gridSpan w:val="7"/>
          </w:tcPr>
          <w:p>
            <w:pPr>
              <w:jc w:val="center"/>
              <w:ind w:right="620"/>
              <w:spacing w:after="0"/>
              <w:rPr>
                <w:sz w:val="20"/>
                <w:szCs w:val="20"/>
                <w:color w:val="auto"/>
              </w:rPr>
            </w:pPr>
            <w:r>
              <w:rPr>
                <w:rFonts w:ascii="Arial" w:cs="Arial" w:eastAsia="Arial" w:hAnsi="Arial"/>
                <w:sz w:val="18"/>
                <w:szCs w:val="18"/>
                <w:color w:val="auto"/>
                <w:w w:val="92"/>
              </w:rPr>
              <w:t>CUSIP No. 98980L101</w:t>
            </w:r>
          </w:p>
        </w:tc>
        <w:tc>
          <w:tcPr>
            <w:tcW w:w="6600" w:type="dxa"/>
            <w:vAlign w:val="bottom"/>
          </w:tcPr>
          <w:p>
            <w:pPr>
              <w:ind w:left="2880"/>
              <w:spacing w:after="0"/>
              <w:rPr>
                <w:sz w:val="20"/>
                <w:szCs w:val="20"/>
                <w:color w:val="auto"/>
              </w:rPr>
            </w:pPr>
            <w:r>
              <w:rPr>
                <w:rFonts w:ascii="Arial" w:cs="Arial" w:eastAsia="Arial" w:hAnsi="Arial"/>
                <w:sz w:val="18"/>
                <w:szCs w:val="18"/>
                <w:color w:val="auto"/>
              </w:rPr>
              <w:t>SCHEDULE 13G</w:t>
            </w:r>
          </w:p>
        </w:tc>
        <w:tc>
          <w:tcPr>
            <w:tcW w:w="2520" w:type="dxa"/>
            <w:vAlign w:val="bottom"/>
          </w:tcPr>
          <w:p>
            <w:pPr>
              <w:ind w:left="1140"/>
              <w:spacing w:after="0"/>
              <w:rPr>
                <w:sz w:val="20"/>
                <w:szCs w:val="20"/>
                <w:color w:val="auto"/>
              </w:rPr>
            </w:pPr>
            <w:r>
              <w:rPr>
                <w:rFonts w:ascii="Arial" w:cs="Arial" w:eastAsia="Arial" w:hAnsi="Arial"/>
                <w:sz w:val="18"/>
                <w:szCs w:val="18"/>
                <w:color w:val="auto"/>
                <w:w w:val="84"/>
              </w:rPr>
              <w:t>Page 6 of 16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780" w:type="dxa"/>
            <w:vAlign w:val="bottom"/>
            <w:tcBorders>
              <w:bottom w:val="single" w:sz="8" w:color="auto"/>
            </w:tcBorders>
            <w:gridSpan w:val="2"/>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auto"/>
            </w:tcBorders>
          </w:tcPr>
          <w:p>
            <w:pPr>
              <w:spacing w:after="0"/>
              <w:rPr>
                <w:sz w:val="19"/>
                <w:szCs w:val="19"/>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SC U.S. GROWTH VII MANAGEMENT, L.P. (“SC USG VII MGMT”)</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836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8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80" w:type="dxa"/>
            <w:vAlign w:val="bottom"/>
            <w:gridSpan w:val="3"/>
          </w:tcPr>
          <w:p>
            <w:pPr>
              <w:jc w:val="right"/>
              <w:ind w:right="32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66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760" w:type="dxa"/>
            <w:vAlign w:val="bottom"/>
            <w:gridSpan w:val="4"/>
          </w:tcPr>
          <w:p>
            <w:pPr>
              <w:ind w:left="160"/>
              <w:spacing w:after="0"/>
              <w:rPr>
                <w:sz w:val="20"/>
                <w:szCs w:val="20"/>
                <w:color w:val="auto"/>
              </w:rPr>
            </w:pPr>
            <w:r>
              <w:rPr>
                <w:rFonts w:ascii="Arial" w:cs="Arial" w:eastAsia="Arial" w:hAnsi="Arial"/>
                <w:sz w:val="18"/>
                <w:szCs w:val="18"/>
                <w:color w:val="auto"/>
              </w:rPr>
              <w:t>SEC USE ONLY</w:t>
            </w:r>
          </w:p>
        </w:tc>
        <w:tc>
          <w:tcPr>
            <w:tcW w:w="6600" w:type="dxa"/>
            <w:vAlign w:val="bottom"/>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780" w:type="dxa"/>
            <w:vAlign w:val="bottom"/>
            <w:tcBorders>
              <w:bottom w:val="single" w:sz="8" w:color="auto"/>
            </w:tcBorders>
            <w:gridSpan w:val="2"/>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9"/>
              </w:rPr>
              <w:t>CAYMAN ISLANDS</w:t>
            </w: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200" w:type="dxa"/>
            <w:vAlign w:val="bottom"/>
            <w:gridSpan w:val="2"/>
          </w:tcPr>
          <w:p>
            <w:pPr>
              <w:jc w:val="center"/>
              <w:ind w:right="30"/>
              <w:spacing w:after="0"/>
              <w:rPr>
                <w:sz w:val="20"/>
                <w:szCs w:val="20"/>
                <w:color w:val="auto"/>
              </w:rPr>
            </w:pPr>
            <w:r>
              <w:rPr>
                <w:rFonts w:ascii="Arial" w:cs="Arial" w:eastAsia="Arial" w:hAnsi="Arial"/>
                <w:sz w:val="18"/>
                <w:szCs w:val="18"/>
                <w:color w:val="auto"/>
                <w:w w:val="96"/>
              </w:rPr>
              <w:t>NUMBER OF</w:t>
            </w:r>
          </w:p>
        </w:tc>
        <w:tc>
          <w:tcPr>
            <w:tcW w:w="6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1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w w:val="92"/>
              </w:rPr>
              <w:t>16,032,747 shares, of which 15,053,148 shares of Class B common stock are directly owned by SC USGF VII and 979,599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1200" w:type="dxa"/>
            <w:vAlign w:val="bottom"/>
            <w:gridSpan w:val="2"/>
          </w:tcPr>
          <w:p>
            <w:pPr>
              <w:jc w:val="center"/>
              <w:ind w:right="30"/>
              <w:spacing w:after="0" w:line="202" w:lineRule="exact"/>
              <w:rPr>
                <w:sz w:val="20"/>
                <w:szCs w:val="20"/>
                <w:color w:val="auto"/>
              </w:rPr>
            </w:pPr>
            <w:r>
              <w:rPr>
                <w:rFonts w:ascii="Arial" w:cs="Arial" w:eastAsia="Arial" w:hAnsi="Arial"/>
                <w:sz w:val="18"/>
                <w:szCs w:val="18"/>
                <w:color w:val="auto"/>
                <w:w w:val="91"/>
              </w:rPr>
              <w:t>SHARES</w:t>
            </w:r>
          </w:p>
        </w:tc>
        <w:tc>
          <w:tcPr>
            <w:tcW w:w="6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12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left w:val="single" w:sz="8" w:color="auto"/>
            </w:tcBorders>
            <w:gridSpan w:val="3"/>
          </w:tcPr>
          <w:p>
            <w:pPr>
              <w:ind w:left="240"/>
              <w:spacing w:after="0"/>
              <w:rPr>
                <w:sz w:val="20"/>
                <w:szCs w:val="20"/>
                <w:color w:val="auto"/>
              </w:rPr>
            </w:pPr>
            <w:r>
              <w:rPr>
                <w:rFonts w:ascii="Arial" w:cs="Arial" w:eastAsia="Arial" w:hAnsi="Arial"/>
                <w:sz w:val="18"/>
                <w:szCs w:val="18"/>
                <w:color w:val="auto"/>
                <w:w w:val="99"/>
              </w:rPr>
              <w:t>BENEFICIALLY</w:t>
            </w:r>
          </w:p>
        </w:tc>
        <w:tc>
          <w:tcPr>
            <w:tcW w:w="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1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shares of Class B common stock are directly owned by SC USGF VII PF. The General Partner of each of SC USGF VII and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0" w:type="dxa"/>
            <w:vAlign w:val="bottom"/>
            <w:tcBorders>
              <w:left w:val="single" w:sz="8" w:color="auto"/>
            </w:tcBorders>
          </w:tcPr>
          <w:p>
            <w:pPr>
              <w:spacing w:after="0"/>
              <w:rPr>
                <w:sz w:val="21"/>
                <w:szCs w:val="21"/>
                <w:color w:val="auto"/>
              </w:rPr>
            </w:pPr>
          </w:p>
        </w:tc>
        <w:tc>
          <w:tcPr>
            <w:tcW w:w="1200" w:type="dxa"/>
            <w:vAlign w:val="bottom"/>
            <w:gridSpan w:val="2"/>
          </w:tcPr>
          <w:p>
            <w:pPr>
              <w:jc w:val="center"/>
              <w:ind w:right="30"/>
              <w:spacing w:after="0"/>
              <w:rPr>
                <w:sz w:val="20"/>
                <w:szCs w:val="20"/>
                <w:color w:val="auto"/>
              </w:rPr>
            </w:pPr>
            <w:r>
              <w:rPr>
                <w:rFonts w:ascii="Arial" w:cs="Arial" w:eastAsia="Arial" w:hAnsi="Arial"/>
                <w:sz w:val="18"/>
                <w:szCs w:val="18"/>
                <w:color w:val="auto"/>
                <w:w w:val="97"/>
              </w:rPr>
              <w:t>OWNED BY</w:t>
            </w:r>
          </w:p>
        </w:tc>
        <w:tc>
          <w:tcPr>
            <w:tcW w:w="60" w:type="dxa"/>
            <w:vAlign w:val="bottom"/>
            <w:tcBorders>
              <w:right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 USGF VII PF is SC USG VII MGMT.</w:t>
            </w: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250"/>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5"/>
                <w:szCs w:val="15"/>
                <w:color w:val="auto"/>
              </w:rPr>
            </w:pPr>
          </w:p>
        </w:tc>
        <w:tc>
          <w:tcPr>
            <w:tcW w:w="660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20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REPORTING</w:t>
            </w:r>
          </w:p>
        </w:tc>
        <w:tc>
          <w:tcPr>
            <w:tcW w:w="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20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PERSON</w:t>
            </w:r>
          </w:p>
        </w:tc>
        <w:tc>
          <w:tcPr>
            <w:tcW w:w="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jc w:val="center"/>
              <w:ind w:right="250"/>
              <w:spacing w:after="0"/>
              <w:rPr>
                <w:sz w:val="20"/>
                <w:szCs w:val="20"/>
                <w:color w:val="auto"/>
              </w:rPr>
            </w:pPr>
            <w:r>
              <w:rPr>
                <w:rFonts w:ascii="Arial" w:cs="Arial" w:eastAsia="Arial" w:hAnsi="Arial"/>
                <w:sz w:val="18"/>
                <w:szCs w:val="18"/>
                <w:color w:val="auto"/>
              </w:rPr>
              <w:t>WITH</w:t>
            </w:r>
          </w:p>
        </w:tc>
        <w:tc>
          <w:tcPr>
            <w:tcW w:w="60" w:type="dxa"/>
            <w:vAlign w:val="bottom"/>
            <w:tcBorders>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2"/>
                <w:szCs w:val="12"/>
                <w:color w:val="auto"/>
              </w:rPr>
            </w:pPr>
          </w:p>
        </w:tc>
        <w:tc>
          <w:tcPr>
            <w:tcW w:w="660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6600" w:type="dxa"/>
            <w:vAlign w:val="bottom"/>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1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16,032,747 shares, of which 15,053,148 shares of Class B common stock are directly owned by SC USGF VII and 979,599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1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shares of Class B common stock are directly owned by SC USGF VII PF. The General Partner of each of SC USGF VII and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 USGF VII PF is SC USG VII MGMT.</w:t>
            </w: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20"/>
                <w:szCs w:val="20"/>
                <w:color w:val="auto"/>
              </w:rPr>
            </w:pPr>
          </w:p>
        </w:tc>
        <w:tc>
          <w:tcPr>
            <w:tcW w:w="8360" w:type="dxa"/>
            <w:vAlign w:val="bottom"/>
            <w:gridSpan w:val="5"/>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8"/>
              </w:rPr>
              <w:t>16,032,747</w:t>
            </w: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20"/>
                <w:szCs w:val="20"/>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auto"/>
            </w:tcBorders>
          </w:tcPr>
          <w:p>
            <w:pPr>
              <w:spacing w:after="0"/>
              <w:rPr>
                <w:sz w:val="19"/>
                <w:szCs w:val="19"/>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12.5%</w:t>
            </w:r>
            <w:r>
              <w:rPr>
                <w:rFonts w:ascii="Arial" w:cs="Arial" w:eastAsia="Arial" w:hAnsi="Arial"/>
                <w:sz w:val="15"/>
                <w:szCs w:val="15"/>
                <w:color w:val="auto"/>
              </w:rPr>
              <w:t>1</w:t>
            </w: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20"/>
                <w:szCs w:val="20"/>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20" w:hanging="452"/>
        <w:spacing w:after="0" w:line="27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8"/>
          <w:szCs w:val="18"/>
          <w:color w:val="auto"/>
        </w:rPr>
        <w:t>Based on a total of 111,794,527 shares outstanding as of November 22, 2019, as reported in the Issuer’s Quarterly Report on Form10-Q filed with the Securities and Exchange Commission on December 9, 2019.</w:t>
      </w:r>
    </w:p>
    <w:p>
      <w:pPr>
        <w:sectPr>
          <w:pgSz w:w="11900" w:h="16838" w:orient="portrait"/>
          <w:cols w:equalWidth="0" w:num="1">
            <w:col w:w="11440"/>
          </w:cols>
          <w:pgMar w:left="240" w:top="274"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320" w:type="dxa"/>
            <w:vAlign w:val="bottom"/>
            <w:gridSpan w:val="7"/>
          </w:tcPr>
          <w:p>
            <w:pPr>
              <w:jc w:val="center"/>
              <w:ind w:right="620"/>
              <w:spacing w:after="0"/>
              <w:rPr>
                <w:sz w:val="20"/>
                <w:szCs w:val="20"/>
                <w:color w:val="auto"/>
              </w:rPr>
            </w:pPr>
            <w:r>
              <w:rPr>
                <w:rFonts w:ascii="Arial" w:cs="Arial" w:eastAsia="Arial" w:hAnsi="Arial"/>
                <w:sz w:val="18"/>
                <w:szCs w:val="18"/>
                <w:color w:val="auto"/>
                <w:w w:val="92"/>
              </w:rPr>
              <w:t>CUSIP No. 98980L101</w:t>
            </w:r>
          </w:p>
        </w:tc>
        <w:tc>
          <w:tcPr>
            <w:tcW w:w="6600" w:type="dxa"/>
            <w:vAlign w:val="bottom"/>
          </w:tcPr>
          <w:p>
            <w:pPr>
              <w:ind w:left="2880"/>
              <w:spacing w:after="0"/>
              <w:rPr>
                <w:sz w:val="20"/>
                <w:szCs w:val="20"/>
                <w:color w:val="auto"/>
              </w:rPr>
            </w:pPr>
            <w:r>
              <w:rPr>
                <w:rFonts w:ascii="Arial" w:cs="Arial" w:eastAsia="Arial" w:hAnsi="Arial"/>
                <w:sz w:val="18"/>
                <w:szCs w:val="18"/>
                <w:color w:val="auto"/>
              </w:rPr>
              <w:t>SCHEDULE 13G</w:t>
            </w:r>
          </w:p>
        </w:tc>
        <w:tc>
          <w:tcPr>
            <w:tcW w:w="2520" w:type="dxa"/>
            <w:vAlign w:val="bottom"/>
          </w:tcPr>
          <w:p>
            <w:pPr>
              <w:ind w:left="1140"/>
              <w:spacing w:after="0"/>
              <w:rPr>
                <w:sz w:val="20"/>
                <w:szCs w:val="20"/>
                <w:color w:val="auto"/>
              </w:rPr>
            </w:pPr>
            <w:r>
              <w:rPr>
                <w:rFonts w:ascii="Arial" w:cs="Arial" w:eastAsia="Arial" w:hAnsi="Arial"/>
                <w:sz w:val="18"/>
                <w:szCs w:val="18"/>
                <w:color w:val="auto"/>
                <w:w w:val="84"/>
              </w:rPr>
              <w:t>Page 7 of 16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780" w:type="dxa"/>
            <w:vAlign w:val="bottom"/>
            <w:tcBorders>
              <w:bottom w:val="single" w:sz="8" w:color="auto"/>
            </w:tcBorders>
            <w:gridSpan w:val="2"/>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auto"/>
            </w:tcBorders>
          </w:tcPr>
          <w:p>
            <w:pPr>
              <w:spacing w:after="0"/>
              <w:rPr>
                <w:sz w:val="19"/>
                <w:szCs w:val="19"/>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SEQUOIA CAPITAL GLOBAL GROWTH FUND II, L.P. (“SC GGFII”)</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836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00" w:type="dxa"/>
            <w:vAlign w:val="bottom"/>
            <w:gridSpan w:val="3"/>
          </w:tcPr>
          <w:p>
            <w:pPr>
              <w:jc w:val="right"/>
              <w:ind w:right="3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6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760" w:type="dxa"/>
            <w:vAlign w:val="bottom"/>
            <w:gridSpan w:val="4"/>
          </w:tcPr>
          <w:p>
            <w:pPr>
              <w:ind w:left="160"/>
              <w:spacing w:after="0"/>
              <w:rPr>
                <w:sz w:val="20"/>
                <w:szCs w:val="20"/>
                <w:color w:val="auto"/>
              </w:rPr>
            </w:pPr>
            <w:r>
              <w:rPr>
                <w:rFonts w:ascii="Arial" w:cs="Arial" w:eastAsia="Arial" w:hAnsi="Arial"/>
                <w:sz w:val="18"/>
                <w:szCs w:val="18"/>
                <w:color w:val="auto"/>
              </w:rPr>
              <w:t>SEC USE ONLY</w:t>
            </w:r>
          </w:p>
        </w:tc>
        <w:tc>
          <w:tcPr>
            <w:tcW w:w="6600" w:type="dxa"/>
            <w:vAlign w:val="bottom"/>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780" w:type="dxa"/>
            <w:vAlign w:val="bottom"/>
            <w:tcBorders>
              <w:bottom w:val="single" w:sz="8" w:color="auto"/>
            </w:tcBorders>
            <w:gridSpan w:val="2"/>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9"/>
              </w:rPr>
              <w:t>CAYMAN ISLANDS</w:t>
            </w: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0" w:type="dxa"/>
            <w:vAlign w:val="bottom"/>
            <w:vMerge w:val="restart"/>
          </w:tcPr>
          <w:p>
            <w:pPr>
              <w:spacing w:after="0"/>
              <w:rPr>
                <w:sz w:val="20"/>
                <w:szCs w:val="20"/>
                <w:color w:val="auto"/>
              </w:rPr>
            </w:pPr>
            <w:r>
              <w:rPr>
                <w:rFonts w:ascii="Arial" w:cs="Arial" w:eastAsia="Arial" w:hAnsi="Arial"/>
                <w:sz w:val="18"/>
                <w:szCs w:val="18"/>
                <w:color w:val="auto"/>
              </w:rPr>
              <w:t>5,176,371</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vMerge w:val="continue"/>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23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5"/>
                <w:szCs w:val="15"/>
                <w:color w:val="auto"/>
              </w:rPr>
            </w:pPr>
          </w:p>
        </w:tc>
        <w:tc>
          <w:tcPr>
            <w:tcW w:w="660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2"/>
                <w:szCs w:val="12"/>
                <w:color w:val="auto"/>
              </w:rPr>
            </w:pPr>
          </w:p>
        </w:tc>
        <w:tc>
          <w:tcPr>
            <w:tcW w:w="660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6600" w:type="dxa"/>
            <w:vAlign w:val="bottom"/>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5,176,371</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20"/>
                <w:szCs w:val="20"/>
                <w:color w:val="auto"/>
              </w:rPr>
            </w:pPr>
          </w:p>
        </w:tc>
        <w:tc>
          <w:tcPr>
            <w:tcW w:w="8360" w:type="dxa"/>
            <w:vAlign w:val="bottom"/>
            <w:gridSpan w:val="5"/>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7"/>
              </w:rPr>
              <w:t>5,176,371</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20"/>
                <w:szCs w:val="20"/>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 w:type="dxa"/>
            <w:vAlign w:val="bottom"/>
            <w:tcBorders>
              <w:left w:val="single" w:sz="8" w:color="auto"/>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11</w:t>
            </w: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4.4%</w:t>
            </w:r>
            <w:r>
              <w:rPr>
                <w:rFonts w:ascii="Arial" w:cs="Arial" w:eastAsia="Arial" w:hAnsi="Arial"/>
                <w:sz w:val="15"/>
                <w:szCs w:val="15"/>
                <w:color w:val="auto"/>
              </w:rPr>
              <w:t>1</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20"/>
                <w:szCs w:val="20"/>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20" w:hanging="452"/>
        <w:spacing w:after="0" w:line="27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Based on a total of 111,794,527 shares outstanding as of November 22, 2019, as reported in the Issuer’s Quarterly Report on Form10-Q filed with the Securities and Exchange Commission on December 9, 2019.</w:t>
      </w:r>
    </w:p>
    <w:p>
      <w:pPr>
        <w:sectPr>
          <w:pgSz w:w="11900" w:h="16838" w:orient="portrait"/>
          <w:cols w:equalWidth="0" w:num="1">
            <w:col w:w="11440"/>
          </w:cols>
          <w:pgMar w:left="240" w:top="274" w:right="219" w:bottom="1440" w:gutter="0" w:footer="0" w:header="0"/>
        </w:sectPr>
      </w:pPr>
    </w:p>
    <w:bookmarkStart w:id="7" w:name="page8"/>
    <w:bookmarkEnd w:id="7"/>
    <w:p>
      <w:pPr>
        <w:spacing w:after="0"/>
        <w:tabs>
          <w:tab w:leader="none" w:pos="518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8 of 16 Pages</w:t>
      </w:r>
    </w:p>
    <w:p>
      <w:pPr>
        <w:spacing w:after="0" w:line="171" w:lineRule="exact"/>
        <w:rPr>
          <w:sz w:val="20"/>
          <w:szCs w:val="20"/>
          <w:color w:val="auto"/>
        </w:rPr>
      </w:pPr>
    </w:p>
    <w:p>
      <w:pPr>
        <w:ind w:left="720" w:hanging="465"/>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22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5222875"/>
                    </a:xfrm>
                    <a:prstGeom prst="rect">
                      <a:avLst/>
                    </a:prstGeom>
                    <a:noFill/>
                  </pic:spPr>
                </pic:pic>
              </a:graphicData>
            </a:graphic>
          </wp:anchor>
        </w:drawing>
      </w:r>
    </w:p>
    <w:p>
      <w:pPr>
        <w:spacing w:after="0" w:line="2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SEQUOIA CAPITAL GLOBAL GROWTH II PRINCIPALS FUND, L.P. (“SC GGFII PF”)</w:t>
      </w:r>
    </w:p>
    <w:p>
      <w:pPr>
        <w:spacing w:after="0" w:line="36" w:lineRule="exact"/>
        <w:rPr>
          <w:sz w:val="20"/>
          <w:szCs w:val="20"/>
          <w:color w:val="auto"/>
        </w:rPr>
      </w:pPr>
    </w:p>
    <w:p>
      <w:pPr>
        <w:ind w:left="720" w:hanging="465"/>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2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20" w:hanging="465"/>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20" w:hanging="465"/>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spacing w:after="0"/>
              <w:rPr>
                <w:sz w:val="21"/>
                <w:szCs w:val="21"/>
                <w:color w:val="auto"/>
              </w:rPr>
            </w:pPr>
          </w:p>
        </w:tc>
        <w:tc>
          <w:tcPr>
            <w:tcW w:w="9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2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580" w:type="dxa"/>
            <w:vAlign w:val="bottom"/>
          </w:tcPr>
          <w:p>
            <w:pPr>
              <w:spacing w:after="0"/>
              <w:rPr>
                <w:sz w:val="18"/>
                <w:szCs w:val="18"/>
                <w:color w:val="auto"/>
              </w:rPr>
            </w:pPr>
          </w:p>
        </w:tc>
        <w:tc>
          <w:tcPr>
            <w:tcW w:w="9280" w:type="dxa"/>
            <w:vAlign w:val="bottom"/>
            <w:vMerge w:val="restart"/>
          </w:tcPr>
          <w:p>
            <w:pPr>
              <w:ind w:left="160"/>
              <w:spacing w:after="0"/>
              <w:rPr>
                <w:sz w:val="20"/>
                <w:szCs w:val="20"/>
                <w:color w:val="auto"/>
              </w:rPr>
            </w:pPr>
            <w:r>
              <w:rPr>
                <w:rFonts w:ascii="Arial" w:cs="Arial" w:eastAsia="Arial" w:hAnsi="Arial"/>
                <w:sz w:val="18"/>
                <w:szCs w:val="18"/>
                <w:color w:val="auto"/>
              </w:rPr>
              <w:t>64,163</w:t>
            </w:r>
          </w:p>
        </w:tc>
        <w:tc>
          <w:tcPr>
            <w:tcW w:w="0" w:type="dxa"/>
            <w:vAlign w:val="bottom"/>
          </w:tcPr>
          <w:p>
            <w:pPr>
              <w:spacing w:after="0"/>
              <w:rPr>
                <w:sz w:val="1"/>
                <w:szCs w:val="1"/>
                <w:color w:val="auto"/>
              </w:rPr>
            </w:pPr>
          </w:p>
        </w:tc>
      </w:tr>
      <w:tr>
        <w:trPr>
          <w:trHeight w:val="230"/>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580" w:type="dxa"/>
            <w:vAlign w:val="bottom"/>
            <w:tcBorders>
              <w:bottom w:val="single" w:sz="8" w:color="auto"/>
            </w:tcBorders>
          </w:tcPr>
          <w:p>
            <w:pPr>
              <w:spacing w:after="0"/>
              <w:rPr>
                <w:sz w:val="20"/>
                <w:szCs w:val="20"/>
                <w:color w:val="auto"/>
              </w:rPr>
            </w:pPr>
          </w:p>
        </w:tc>
        <w:tc>
          <w:tcPr>
            <w:tcW w:w="9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2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58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2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580" w:type="dxa"/>
            <w:vAlign w:val="bottom"/>
          </w:tcPr>
          <w:p>
            <w:pPr>
              <w:spacing w:after="0"/>
              <w:rPr>
                <w:sz w:val="18"/>
                <w:szCs w:val="18"/>
                <w:color w:val="auto"/>
              </w:rPr>
            </w:pPr>
          </w:p>
        </w:tc>
        <w:tc>
          <w:tcPr>
            <w:tcW w:w="92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tcBorders>
          </w:tcPr>
          <w:p>
            <w:pPr>
              <w:spacing w:after="0"/>
              <w:rPr>
                <w:sz w:val="5"/>
                <w:szCs w:val="5"/>
                <w:color w:val="auto"/>
              </w:rPr>
            </w:pPr>
          </w:p>
        </w:tc>
        <w:tc>
          <w:tcPr>
            <w:tcW w:w="9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5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2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9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64,163</w:t>
      </w:r>
    </w:p>
    <w:p>
      <w:pPr>
        <w:spacing w:after="0" w:line="36" w:lineRule="exact"/>
        <w:rPr>
          <w:sz w:val="20"/>
          <w:szCs w:val="20"/>
          <w:color w:val="auto"/>
        </w:rPr>
      </w:pPr>
    </w:p>
    <w:p>
      <w:pPr>
        <w:ind w:left="700" w:hanging="445"/>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64,163</w:t>
      </w:r>
    </w:p>
    <w:p>
      <w:pPr>
        <w:spacing w:after="0" w:line="36" w:lineRule="exact"/>
        <w:rPr>
          <w:sz w:val="20"/>
          <w:szCs w:val="20"/>
          <w:color w:val="auto"/>
        </w:rPr>
      </w:pPr>
    </w:p>
    <w:p>
      <w:pPr>
        <w:ind w:left="720" w:hanging="555"/>
        <w:spacing w:after="0"/>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7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20" w:right="5780" w:hanging="555"/>
        <w:spacing w:after="0" w:line="402" w:lineRule="auto"/>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 Less than 0.1%</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720" w:right="8220" w:hanging="555"/>
        <w:spacing w:after="0" w:line="548" w:lineRule="auto"/>
        <w:tabs>
          <w:tab w:leader="none" w:pos="717"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 PN</w:t>
      </w:r>
    </w:p>
    <w:p>
      <w:pPr>
        <w:ind w:left="460" w:right="220" w:hanging="446"/>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Based on a total of 111,794,527 shares outstanding as of November 22, 2019, as reported in the Issuer’s Quarterly Report on Form10-Q filed with the Securities and Exchange Commission on December 9, 2019.</w:t>
      </w:r>
    </w:p>
    <w:p>
      <w:pPr>
        <w:sectPr>
          <w:pgSz w:w="11900" w:h="16838" w:orient="portrait"/>
          <w:cols w:equalWidth="0" w:num="1">
            <w:col w:w="11440"/>
          </w:cols>
          <w:pgMar w:left="240" w:top="274"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2320" w:type="dxa"/>
            <w:vAlign w:val="bottom"/>
            <w:gridSpan w:val="7"/>
          </w:tcPr>
          <w:p>
            <w:pPr>
              <w:jc w:val="center"/>
              <w:ind w:right="620"/>
              <w:spacing w:after="0"/>
              <w:rPr>
                <w:sz w:val="20"/>
                <w:szCs w:val="20"/>
                <w:color w:val="auto"/>
              </w:rPr>
            </w:pPr>
            <w:r>
              <w:rPr>
                <w:rFonts w:ascii="Arial" w:cs="Arial" w:eastAsia="Arial" w:hAnsi="Arial"/>
                <w:sz w:val="18"/>
                <w:szCs w:val="18"/>
                <w:color w:val="auto"/>
                <w:w w:val="92"/>
              </w:rPr>
              <w:t>CUSIP No. 98980L101</w:t>
            </w:r>
          </w:p>
        </w:tc>
        <w:tc>
          <w:tcPr>
            <w:tcW w:w="6600" w:type="dxa"/>
            <w:vAlign w:val="bottom"/>
          </w:tcPr>
          <w:p>
            <w:pPr>
              <w:ind w:left="2880"/>
              <w:spacing w:after="0"/>
              <w:rPr>
                <w:sz w:val="20"/>
                <w:szCs w:val="20"/>
                <w:color w:val="auto"/>
              </w:rPr>
            </w:pPr>
            <w:r>
              <w:rPr>
                <w:rFonts w:ascii="Arial" w:cs="Arial" w:eastAsia="Arial" w:hAnsi="Arial"/>
                <w:sz w:val="18"/>
                <w:szCs w:val="18"/>
                <w:color w:val="auto"/>
              </w:rPr>
              <w:t>SCHEDULE 13G</w:t>
            </w:r>
          </w:p>
        </w:tc>
        <w:tc>
          <w:tcPr>
            <w:tcW w:w="2520" w:type="dxa"/>
            <w:vAlign w:val="bottom"/>
          </w:tcPr>
          <w:p>
            <w:pPr>
              <w:ind w:left="1140"/>
              <w:spacing w:after="0"/>
              <w:rPr>
                <w:sz w:val="20"/>
                <w:szCs w:val="20"/>
                <w:color w:val="auto"/>
              </w:rPr>
            </w:pPr>
            <w:r>
              <w:rPr>
                <w:rFonts w:ascii="Arial" w:cs="Arial" w:eastAsia="Arial" w:hAnsi="Arial"/>
                <w:sz w:val="18"/>
                <w:szCs w:val="18"/>
                <w:color w:val="auto"/>
                <w:w w:val="84"/>
              </w:rPr>
              <w:t>Page 9 of 16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780" w:type="dxa"/>
            <w:vAlign w:val="bottom"/>
            <w:tcBorders>
              <w:bottom w:val="single" w:sz="8" w:color="auto"/>
            </w:tcBorders>
            <w:gridSpan w:val="2"/>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auto"/>
            </w:tcBorders>
          </w:tcPr>
          <w:p>
            <w:pPr>
              <w:spacing w:after="0"/>
              <w:rPr>
                <w:sz w:val="19"/>
                <w:szCs w:val="19"/>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SC GLOBAL GROWTH II MANAGEMENT, L.P. (“SCGGFII MGMT”)</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836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00" w:type="dxa"/>
            <w:vAlign w:val="bottom"/>
            <w:gridSpan w:val="3"/>
          </w:tcPr>
          <w:p>
            <w:pPr>
              <w:jc w:val="right"/>
              <w:ind w:right="3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6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760" w:type="dxa"/>
            <w:vAlign w:val="bottom"/>
            <w:gridSpan w:val="4"/>
          </w:tcPr>
          <w:p>
            <w:pPr>
              <w:ind w:left="160"/>
              <w:spacing w:after="0"/>
              <w:rPr>
                <w:sz w:val="20"/>
                <w:szCs w:val="20"/>
                <w:color w:val="auto"/>
              </w:rPr>
            </w:pPr>
            <w:r>
              <w:rPr>
                <w:rFonts w:ascii="Arial" w:cs="Arial" w:eastAsia="Arial" w:hAnsi="Arial"/>
                <w:sz w:val="18"/>
                <w:szCs w:val="18"/>
                <w:color w:val="auto"/>
              </w:rPr>
              <w:t>SEC USE ONLY</w:t>
            </w:r>
          </w:p>
        </w:tc>
        <w:tc>
          <w:tcPr>
            <w:tcW w:w="6600" w:type="dxa"/>
            <w:vAlign w:val="bottom"/>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780" w:type="dxa"/>
            <w:vAlign w:val="bottom"/>
            <w:tcBorders>
              <w:bottom w:val="single" w:sz="8" w:color="auto"/>
            </w:tcBorders>
            <w:gridSpan w:val="2"/>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9"/>
              </w:rPr>
              <w:t>CAYMAN ISLANDS</w:t>
            </w: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1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w w:val="90"/>
              </w:rPr>
              <w:t>5,240,534 shares, of which 5,176,371 shares of Class B common stock are directly owned by SC GGFII and 64,163 shares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1180" w:type="dxa"/>
            <w:vAlign w:val="bottom"/>
            <w:gridSpan w:val="2"/>
          </w:tcPr>
          <w:p>
            <w:pPr>
              <w:jc w:val="center"/>
              <w:ind w:right="10"/>
              <w:spacing w:after="0" w:line="202" w:lineRule="exact"/>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12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Borders>
              <w:left w:val="single" w:sz="8" w:color="auto"/>
            </w:tcBorders>
            <w:gridSpan w:val="3"/>
          </w:tcPr>
          <w:p>
            <w:pPr>
              <w:ind w:left="240"/>
              <w:spacing w:after="0"/>
              <w:rPr>
                <w:sz w:val="20"/>
                <w:szCs w:val="20"/>
                <w:color w:val="auto"/>
              </w:rPr>
            </w:pPr>
            <w:r>
              <w:rPr>
                <w:rFonts w:ascii="Arial" w:cs="Arial" w:eastAsia="Arial" w:hAnsi="Arial"/>
                <w:sz w:val="18"/>
                <w:szCs w:val="18"/>
                <w:color w:val="auto"/>
                <w:w w:val="97"/>
              </w:rPr>
              <w:t>BENEFICIALLY</w:t>
            </w:r>
          </w:p>
        </w:tc>
        <w:tc>
          <w:tcPr>
            <w:tcW w:w="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1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Class B common stock are directly owned by SC GGFII PF. The General Partner of each of SC GGFII and SC GGFII PF is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0" w:type="dxa"/>
            <w:vAlign w:val="bottom"/>
            <w:tcBorders>
              <w:left w:val="single" w:sz="8" w:color="auto"/>
            </w:tcBorders>
          </w:tcPr>
          <w:p>
            <w:pPr>
              <w:spacing w:after="0"/>
              <w:rPr>
                <w:sz w:val="21"/>
                <w:szCs w:val="21"/>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SCGGFII MGMT.</w:t>
            </w: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23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5"/>
                <w:szCs w:val="15"/>
                <w:color w:val="auto"/>
              </w:rPr>
            </w:pPr>
          </w:p>
        </w:tc>
        <w:tc>
          <w:tcPr>
            <w:tcW w:w="660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2"/>
                <w:szCs w:val="12"/>
                <w:color w:val="auto"/>
              </w:rPr>
            </w:pPr>
          </w:p>
        </w:tc>
        <w:tc>
          <w:tcPr>
            <w:tcW w:w="660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6600" w:type="dxa"/>
            <w:vAlign w:val="bottom"/>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1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5,240,534 shares, of which 5,176,371 shares of Class B common stock are directly owned by SC GGFII and 64,163 shares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1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Class B common stock are directly owned by SC GGFII PF. The General Partner of each of SC GGFII and SC GGFII PF is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SCGGFII MGMT.</w:t>
            </w: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20"/>
                <w:szCs w:val="20"/>
                <w:color w:val="auto"/>
              </w:rPr>
            </w:pPr>
          </w:p>
        </w:tc>
        <w:tc>
          <w:tcPr>
            <w:tcW w:w="8360" w:type="dxa"/>
            <w:vAlign w:val="bottom"/>
            <w:gridSpan w:val="5"/>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7"/>
              </w:rPr>
              <w:t>5,240,534</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20"/>
                <w:szCs w:val="20"/>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auto"/>
            </w:tcBorders>
          </w:tcPr>
          <w:p>
            <w:pPr>
              <w:spacing w:after="0"/>
              <w:rPr>
                <w:sz w:val="19"/>
                <w:szCs w:val="19"/>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4.5%</w:t>
            </w:r>
            <w:r>
              <w:rPr>
                <w:rFonts w:ascii="Arial" w:cs="Arial" w:eastAsia="Arial" w:hAnsi="Arial"/>
                <w:sz w:val="15"/>
                <w:szCs w:val="15"/>
                <w:color w:val="auto"/>
              </w:rPr>
              <w:t>1</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20"/>
                <w:szCs w:val="20"/>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20" w:hanging="452"/>
        <w:spacing w:after="0" w:line="27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Based on a total of 111,794,527 shares outstanding as of November 22, 2019, as reported in the Issuer’s Quarterly Report on Form10-Q filed with the Securities and Exchange Commission on December 9, 2019.</w:t>
      </w:r>
    </w:p>
    <w:p>
      <w:pPr>
        <w:sectPr>
          <w:pgSz w:w="11900" w:h="16838" w:orient="portrait"/>
          <w:cols w:equalWidth="0" w:num="1">
            <w:col w:w="11440"/>
          </w:cols>
          <w:pgMar w:left="240" w:top="274" w:right="219" w:bottom="1440" w:gutter="0" w:footer="0" w:header="0"/>
        </w:sectPr>
      </w:pPr>
    </w:p>
    <w:bookmarkStart w:id="9" w:name="page10"/>
    <w:bookmarkEnd w:id="9"/>
    <w:p>
      <w:pPr>
        <w:spacing w:after="0"/>
        <w:tabs>
          <w:tab w:leader="none" w:pos="5180" w:val="left"/>
          <w:tab w:leader="none" w:pos="9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10 of 16 Pages</w:t>
      </w:r>
    </w:p>
    <w:p>
      <w:pPr>
        <w:spacing w:after="0" w:line="171" w:lineRule="exact"/>
        <w:rPr>
          <w:sz w:val="20"/>
          <w:szCs w:val="20"/>
          <w:color w:val="auto"/>
        </w:rPr>
      </w:pPr>
    </w:p>
    <w:p>
      <w:pPr>
        <w:ind w:left="720" w:hanging="465"/>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869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6869430"/>
                    </a:xfrm>
                    <a:prstGeom prst="rect">
                      <a:avLst/>
                    </a:prstGeom>
                    <a:noFill/>
                  </pic:spPr>
                </pic:pic>
              </a:graphicData>
            </a:graphic>
          </wp:anchor>
        </w:drawing>
      </w:r>
    </w:p>
    <w:p>
      <w:pPr>
        <w:spacing w:after="0" w:line="2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SC US (TTGP), LTD. (“SC US TTGP”)</w:t>
      </w:r>
    </w:p>
    <w:p>
      <w:pPr>
        <w:spacing w:after="0" w:line="36" w:lineRule="exact"/>
        <w:rPr>
          <w:sz w:val="20"/>
          <w:szCs w:val="20"/>
          <w:color w:val="auto"/>
        </w:rPr>
      </w:pPr>
    </w:p>
    <w:p>
      <w:pPr>
        <w:ind w:left="720" w:hanging="465"/>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2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20" w:hanging="465"/>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20" w:hanging="465"/>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37"/>
        </w:trPr>
        <w:tc>
          <w:tcPr>
            <w:tcW w:w="13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2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31"/>
        </w:trPr>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80" w:type="dxa"/>
            <w:vAlign w:val="bottom"/>
          </w:tcPr>
          <w:p>
            <w:pPr>
              <w:ind w:left="160"/>
              <w:spacing w:after="0"/>
              <w:rPr>
                <w:sz w:val="20"/>
                <w:szCs w:val="20"/>
                <w:color w:val="auto"/>
              </w:rPr>
            </w:pPr>
            <w:r>
              <w:rPr>
                <w:rFonts w:ascii="Arial" w:cs="Arial" w:eastAsia="Arial" w:hAnsi="Arial"/>
                <w:sz w:val="18"/>
                <w:szCs w:val="18"/>
                <w:color w:val="auto"/>
                <w:w w:val="91"/>
              </w:rPr>
              <w:t>21,428,911 shares, of which 155,630 shares of Class B common stock are directly owned by SC USGF V, 15,053,148 shares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80" w:type="dxa"/>
            <w:vAlign w:val="bottom"/>
          </w:tcPr>
          <w:p>
            <w:pPr>
              <w:ind w:left="160"/>
              <w:spacing w:after="0"/>
              <w:rPr>
                <w:sz w:val="20"/>
                <w:szCs w:val="20"/>
                <w:color w:val="auto"/>
              </w:rPr>
            </w:pPr>
            <w:r>
              <w:rPr>
                <w:rFonts w:ascii="Arial" w:cs="Arial" w:eastAsia="Arial" w:hAnsi="Arial"/>
                <w:sz w:val="18"/>
                <w:szCs w:val="18"/>
                <w:color w:val="auto"/>
                <w:w w:val="92"/>
              </w:rPr>
              <w:t>of Class B common stock are directly owned by SC USGF VII, 979,599 shares of Class B common stock are directly owned</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80" w:type="dxa"/>
            <w:vAlign w:val="bottom"/>
          </w:tcPr>
          <w:p>
            <w:pPr>
              <w:ind w:left="160"/>
              <w:spacing w:after="0"/>
              <w:rPr>
                <w:sz w:val="20"/>
                <w:szCs w:val="20"/>
                <w:color w:val="auto"/>
              </w:rPr>
            </w:pPr>
            <w:r>
              <w:rPr>
                <w:rFonts w:ascii="Arial" w:cs="Arial" w:eastAsia="Arial" w:hAnsi="Arial"/>
                <w:sz w:val="18"/>
                <w:szCs w:val="18"/>
                <w:color w:val="auto"/>
                <w:w w:val="95"/>
              </w:rPr>
              <w:t>by SC USGF VII PF, 5,176,371 shares of Class B common stock are directly owned by SC GGFII and 64,163 shares of</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80" w:type="dxa"/>
            <w:vAlign w:val="bottom"/>
          </w:tcPr>
          <w:p>
            <w:pPr>
              <w:spacing w:after="0"/>
              <w:rPr>
                <w:sz w:val="18"/>
                <w:szCs w:val="18"/>
                <w:color w:val="auto"/>
              </w:rPr>
            </w:pPr>
          </w:p>
        </w:tc>
        <w:tc>
          <w:tcPr>
            <w:tcW w:w="9280" w:type="dxa"/>
            <w:vAlign w:val="bottom"/>
          </w:tcPr>
          <w:p>
            <w:pPr>
              <w:ind w:left="160"/>
              <w:spacing w:after="0"/>
              <w:rPr>
                <w:sz w:val="20"/>
                <w:szCs w:val="20"/>
                <w:color w:val="auto"/>
              </w:rPr>
            </w:pPr>
            <w:r>
              <w:rPr>
                <w:rFonts w:ascii="Arial" w:cs="Arial" w:eastAsia="Arial" w:hAnsi="Arial"/>
                <w:sz w:val="18"/>
                <w:szCs w:val="18"/>
                <w:color w:val="auto"/>
                <w:w w:val="95"/>
              </w:rPr>
              <w:t>Class B common stock are directly owned by SC GGFII PF. The General Partner of SC USGF V is SCGF V MGMT. The</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580" w:type="dxa"/>
            <w:vAlign w:val="bottom"/>
          </w:tcPr>
          <w:p>
            <w:pPr>
              <w:spacing w:after="0"/>
              <w:rPr>
                <w:sz w:val="18"/>
                <w:szCs w:val="18"/>
                <w:color w:val="auto"/>
              </w:rPr>
            </w:pPr>
          </w:p>
        </w:tc>
        <w:tc>
          <w:tcPr>
            <w:tcW w:w="9280" w:type="dxa"/>
            <w:vAlign w:val="bottom"/>
          </w:tcPr>
          <w:p>
            <w:pPr>
              <w:ind w:left="160"/>
              <w:spacing w:after="0"/>
              <w:rPr>
                <w:sz w:val="20"/>
                <w:szCs w:val="20"/>
                <w:color w:val="auto"/>
              </w:rPr>
            </w:pPr>
            <w:r>
              <w:rPr>
                <w:rFonts w:ascii="Arial" w:cs="Arial" w:eastAsia="Arial" w:hAnsi="Arial"/>
                <w:sz w:val="18"/>
                <w:szCs w:val="18"/>
                <w:color w:val="auto"/>
                <w:w w:val="94"/>
              </w:rPr>
              <w:t>General Partner of each of SC USGF VII and SC USGF VII PF is SC USG VII MGMT. The General Partner of each of SC</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580" w:type="dxa"/>
            <w:vAlign w:val="bottom"/>
          </w:tcPr>
          <w:p>
            <w:pPr>
              <w:spacing w:after="0"/>
              <w:rPr>
                <w:sz w:val="18"/>
                <w:szCs w:val="18"/>
                <w:color w:val="auto"/>
              </w:rPr>
            </w:pPr>
          </w:p>
        </w:tc>
        <w:tc>
          <w:tcPr>
            <w:tcW w:w="9280" w:type="dxa"/>
            <w:vAlign w:val="bottom"/>
          </w:tcPr>
          <w:p>
            <w:pPr>
              <w:ind w:left="160"/>
              <w:spacing w:after="0"/>
              <w:rPr>
                <w:sz w:val="20"/>
                <w:szCs w:val="20"/>
                <w:color w:val="auto"/>
              </w:rPr>
            </w:pPr>
            <w:r>
              <w:rPr>
                <w:rFonts w:ascii="Arial" w:cs="Arial" w:eastAsia="Arial" w:hAnsi="Arial"/>
                <w:sz w:val="18"/>
                <w:szCs w:val="18"/>
                <w:color w:val="auto"/>
                <w:w w:val="93"/>
              </w:rPr>
              <w:t>GGFII and SC GGFII PF is SCGGFII MGMT. SC US TTGP is the General Partner of each of SCGF V MGMT, SC USG VII</w:t>
            </w:r>
          </w:p>
        </w:tc>
        <w:tc>
          <w:tcPr>
            <w:tcW w:w="0" w:type="dxa"/>
            <w:vAlign w:val="bottom"/>
          </w:tcPr>
          <w:p>
            <w:pPr>
              <w:spacing w:after="0"/>
              <w:rPr>
                <w:sz w:val="1"/>
                <w:szCs w:val="1"/>
                <w:color w:val="auto"/>
              </w:rPr>
            </w:pPr>
          </w:p>
        </w:tc>
      </w:tr>
      <w:tr>
        <w:trPr>
          <w:trHeight w:val="244"/>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580" w:type="dxa"/>
            <w:vAlign w:val="bottom"/>
            <w:tcBorders>
              <w:bottom w:val="single" w:sz="8" w:color="auto"/>
            </w:tcBorders>
          </w:tcPr>
          <w:p>
            <w:pPr>
              <w:spacing w:after="0"/>
              <w:rPr>
                <w:sz w:val="21"/>
                <w:szCs w:val="21"/>
                <w:color w:val="auto"/>
              </w:rPr>
            </w:pPr>
          </w:p>
        </w:tc>
        <w:tc>
          <w:tcPr>
            <w:tcW w:w="9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MGMT and SCGGFII MGMT.</w:t>
            </w:r>
          </w:p>
        </w:tc>
        <w:tc>
          <w:tcPr>
            <w:tcW w:w="0" w:type="dxa"/>
            <w:vAlign w:val="bottom"/>
          </w:tcPr>
          <w:p>
            <w:pPr>
              <w:spacing w:after="0"/>
              <w:rPr>
                <w:sz w:val="1"/>
                <w:szCs w:val="1"/>
                <w:color w:val="auto"/>
              </w:rPr>
            </w:pPr>
          </w:p>
        </w:tc>
      </w:tr>
      <w:tr>
        <w:trPr>
          <w:trHeight w:val="182"/>
        </w:trPr>
        <w:tc>
          <w:tcPr>
            <w:tcW w:w="132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58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28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580" w:type="dxa"/>
            <w:vAlign w:val="bottom"/>
          </w:tcPr>
          <w:p>
            <w:pPr>
              <w:spacing w:after="0"/>
              <w:rPr>
                <w:sz w:val="18"/>
                <w:szCs w:val="18"/>
                <w:color w:val="auto"/>
              </w:rPr>
            </w:pPr>
          </w:p>
        </w:tc>
        <w:tc>
          <w:tcPr>
            <w:tcW w:w="92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tcBorders>
          </w:tcPr>
          <w:p>
            <w:pPr>
              <w:spacing w:after="0"/>
              <w:rPr>
                <w:sz w:val="5"/>
                <w:szCs w:val="5"/>
                <w:color w:val="auto"/>
              </w:rPr>
            </w:pPr>
          </w:p>
        </w:tc>
        <w:tc>
          <w:tcPr>
            <w:tcW w:w="9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5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2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9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20" w:right="60"/>
        <w:spacing w:after="0" w:line="255" w:lineRule="auto"/>
        <w:rPr>
          <w:sz w:val="20"/>
          <w:szCs w:val="20"/>
          <w:color w:val="auto"/>
        </w:rPr>
      </w:pPr>
      <w:r>
        <w:rPr>
          <w:rFonts w:ascii="Arial" w:cs="Arial" w:eastAsia="Arial" w:hAnsi="Arial"/>
          <w:sz w:val="18"/>
          <w:szCs w:val="18"/>
          <w:color w:val="auto"/>
        </w:rPr>
        <w:t>21,428,911 shares, of which 155,630 shares of Class B common stock are directly owned by SC USGF V, 15,053,148 shares of Class B common stock are directly owned by SC USGF VII, 979,599 shares of Class B common stock are directly owned by SC USGF VII PF, 5,176,371 shares of Class B common stock are directly owned by SC GGFII and 64,163 shares of Class B common stock are directly owned by SC GGFII PF. The General Partner of SC USGF V is SCGF V MGMT. The General Partner of each of SC USGF VII and SC USGF VII PF is SC USG VII MGMT. The General Partner of each of SC GGFII and SC GGFII PF is SCGGFII MGMT. SC US TTGP is the General Partner of each of SCGF V MGMT, SC USG VII MGMT and SCGGFII MGMT.</w:t>
      </w:r>
    </w:p>
    <w:p>
      <w:pPr>
        <w:ind w:left="700" w:hanging="445"/>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21,428,911</w:t>
      </w:r>
    </w:p>
    <w:p>
      <w:pPr>
        <w:spacing w:after="0" w:line="36" w:lineRule="exact"/>
        <w:rPr>
          <w:sz w:val="20"/>
          <w:szCs w:val="20"/>
          <w:color w:val="auto"/>
        </w:rPr>
      </w:pPr>
    </w:p>
    <w:p>
      <w:pPr>
        <w:ind w:left="720" w:hanging="555"/>
        <w:spacing w:after="0"/>
        <w:tabs>
          <w:tab w:leader="none" w:pos="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7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20" w:right="5780" w:hanging="555"/>
        <w:spacing w:after="0" w:line="402" w:lineRule="auto"/>
        <w:tabs>
          <w:tab w:leader="none" w:pos="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16.1%</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720" w:right="8220" w:hanging="555"/>
        <w:spacing w:after="0" w:line="548" w:lineRule="auto"/>
        <w:tabs>
          <w:tab w:leader="none" w:pos="717"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 OO</w:t>
      </w:r>
    </w:p>
    <w:p>
      <w:pPr>
        <w:ind w:left="460" w:right="220" w:hanging="446"/>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Based on a total of 111,794,527 shares outstanding as of November 22, 2019, as reported in the Issuer’s Quarterly Report on Form10-Q filed with the Securities and Exchange Commission on December 9, 2019.</w:t>
      </w:r>
    </w:p>
    <w:p>
      <w:pPr>
        <w:sectPr>
          <w:pgSz w:w="11900" w:h="16838" w:orient="portrait"/>
          <w:cols w:equalWidth="0" w:num="1">
            <w:col w:w="11440"/>
          </w:cols>
          <w:pgMar w:left="240" w:top="274"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1780" w:type="dxa"/>
            <w:vAlign w:val="bottom"/>
            <w:gridSpan w:val="6"/>
          </w:tcPr>
          <w:p>
            <w:pPr>
              <w:jc w:val="center"/>
              <w:ind w:right="80"/>
              <w:spacing w:after="0"/>
              <w:rPr>
                <w:sz w:val="20"/>
                <w:szCs w:val="20"/>
                <w:color w:val="auto"/>
              </w:rPr>
            </w:pPr>
            <w:r>
              <w:rPr>
                <w:rFonts w:ascii="Arial" w:cs="Arial" w:eastAsia="Arial" w:hAnsi="Arial"/>
                <w:sz w:val="18"/>
                <w:szCs w:val="18"/>
                <w:color w:val="auto"/>
                <w:w w:val="92"/>
              </w:rPr>
              <w:t>CUSIP No. 98980L101</w:t>
            </w:r>
          </w:p>
        </w:tc>
        <w:tc>
          <w:tcPr>
            <w:tcW w:w="360" w:type="dxa"/>
            <w:vAlign w:val="bottom"/>
          </w:tcPr>
          <w:p>
            <w:pPr>
              <w:spacing w:after="0"/>
              <w:rPr>
                <w:sz w:val="20"/>
                <w:szCs w:val="20"/>
                <w:color w:val="auto"/>
              </w:rPr>
            </w:pPr>
          </w:p>
        </w:tc>
        <w:tc>
          <w:tcPr>
            <w:tcW w:w="6740" w:type="dxa"/>
            <w:vAlign w:val="bottom"/>
          </w:tcPr>
          <w:p>
            <w:pPr>
              <w:ind w:left="3060"/>
              <w:spacing w:after="0"/>
              <w:rPr>
                <w:sz w:val="20"/>
                <w:szCs w:val="20"/>
                <w:color w:val="auto"/>
              </w:rPr>
            </w:pPr>
            <w:r>
              <w:rPr>
                <w:rFonts w:ascii="Arial" w:cs="Arial" w:eastAsia="Arial" w:hAnsi="Arial"/>
                <w:sz w:val="18"/>
                <w:szCs w:val="18"/>
                <w:color w:val="auto"/>
              </w:rPr>
              <w:t>SCHEDULE 13G</w:t>
            </w:r>
          </w:p>
        </w:tc>
        <w:tc>
          <w:tcPr>
            <w:tcW w:w="2560" w:type="dxa"/>
            <w:vAlign w:val="bottom"/>
          </w:tcPr>
          <w:p>
            <w:pPr>
              <w:ind w:left="1080"/>
              <w:spacing w:after="0"/>
              <w:rPr>
                <w:sz w:val="20"/>
                <w:szCs w:val="20"/>
                <w:color w:val="auto"/>
              </w:rPr>
            </w:pPr>
            <w:r>
              <w:rPr>
                <w:rFonts w:ascii="Arial" w:cs="Arial" w:eastAsia="Arial" w:hAnsi="Arial"/>
                <w:sz w:val="18"/>
                <w:szCs w:val="18"/>
                <w:color w:val="auto"/>
                <w:w w:val="85"/>
              </w:rPr>
              <w:t>Page 11 of 16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gridSpan w:val="2"/>
          </w:tcPr>
          <w:p>
            <w:pPr>
              <w:spacing w:after="0"/>
              <w:rPr>
                <w:sz w:val="12"/>
                <w:szCs w:val="12"/>
                <w:color w:val="auto"/>
              </w:rPr>
            </w:pPr>
          </w:p>
        </w:tc>
        <w:tc>
          <w:tcPr>
            <w:tcW w:w="67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auto"/>
            </w:tcBorders>
          </w:tcPr>
          <w:p>
            <w:pPr>
              <w:spacing w:after="0"/>
              <w:rPr>
                <w:sz w:val="19"/>
                <w:szCs w:val="19"/>
                <w:color w:val="auto"/>
              </w:rPr>
            </w:pPr>
          </w:p>
        </w:tc>
        <w:tc>
          <w:tcPr>
            <w:tcW w:w="832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MICHAEL ABRAMSON (“MA”)</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832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w w:val="99"/>
              </w:rPr>
              <w:t>(b)</w:t>
            </w:r>
          </w:p>
        </w:tc>
        <w:tc>
          <w:tcPr>
            <w:tcW w:w="360" w:type="dxa"/>
            <w:vAlign w:val="bottom"/>
          </w:tcPr>
          <w:p>
            <w:pPr>
              <w:jc w:val="right"/>
              <w:ind w:right="50"/>
              <w:spacing w:after="0" w:line="181" w:lineRule="exact"/>
              <w:rPr>
                <w:sz w:val="20"/>
                <w:szCs w:val="20"/>
                <w:color w:val="auto"/>
              </w:rPr>
            </w:pPr>
            <w:r>
              <w:rPr>
                <w:rFonts w:ascii="MS PGothic" w:cs="MS PGothic" w:eastAsia="MS PGothic" w:hAnsi="MS PGothic"/>
                <w:sz w:val="18"/>
                <w:szCs w:val="18"/>
                <w:color w:val="auto"/>
              </w:rPr>
              <w:t>☐</w:t>
            </w:r>
          </w:p>
        </w:tc>
        <w:tc>
          <w:tcPr>
            <w:tcW w:w="674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6740" w:type="dxa"/>
            <w:vAlign w:val="bottom"/>
            <w:tcBorders>
              <w:bottom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580" w:type="dxa"/>
            <w:vAlign w:val="bottom"/>
            <w:gridSpan w:val="4"/>
          </w:tcPr>
          <w:p>
            <w:pPr>
              <w:ind w:left="160"/>
              <w:spacing w:after="0"/>
              <w:rPr>
                <w:sz w:val="20"/>
                <w:szCs w:val="20"/>
                <w:color w:val="auto"/>
              </w:rPr>
            </w:pPr>
            <w:r>
              <w:rPr>
                <w:rFonts w:ascii="Arial" w:cs="Arial" w:eastAsia="Arial" w:hAnsi="Arial"/>
                <w:sz w:val="18"/>
                <w:szCs w:val="18"/>
                <w:color w:val="auto"/>
              </w:rPr>
              <w:t>SEC USE ONLY</w:t>
            </w:r>
          </w:p>
        </w:tc>
        <w:tc>
          <w:tcPr>
            <w:tcW w:w="6740" w:type="dxa"/>
            <w:vAlign w:val="bottom"/>
          </w:tcPr>
          <w:p>
            <w:pPr>
              <w:spacing w:after="0"/>
              <w:rPr>
                <w:sz w:val="19"/>
                <w:szCs w:val="19"/>
                <w:color w:val="auto"/>
              </w:rPr>
            </w:pP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6740" w:type="dxa"/>
            <w:vAlign w:val="bottom"/>
            <w:tcBorders>
              <w:bottom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832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USA</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67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6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132,018</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67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0"/>
              </w:rPr>
              <w:t>5,240,534 shares, of which 5,176,371 shares of Class B common stock are directly owned by SC GGFII and 64,163 shares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2"/>
              </w:rPr>
              <w:t>Class B common stock are directly owned by SC GGFII PF. The General Partner of each of SC GGFII and SC GGFII PF 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2"/>
              </w:rPr>
              <w:t>SCGGFII MGMT. SC US TTGP is the General Partner of SCGGFII MGMT. The directors and stockholders of SC US TTGP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Borders>
              <w:left w:val="single" w:sz="8" w:color="auto"/>
            </w:tcBorders>
            <w:gridSpan w:val="3"/>
          </w:tcPr>
          <w:p>
            <w:pPr>
              <w:ind w:left="240"/>
              <w:spacing w:after="0"/>
              <w:rPr>
                <w:sz w:val="20"/>
                <w:szCs w:val="20"/>
                <w:color w:val="auto"/>
              </w:rPr>
            </w:pPr>
            <w:r>
              <w:rPr>
                <w:rFonts w:ascii="Arial" w:cs="Arial" w:eastAsia="Arial" w:hAnsi="Arial"/>
                <w:sz w:val="18"/>
                <w:szCs w:val="18"/>
                <w:color w:val="auto"/>
                <w:w w:val="97"/>
              </w:rPr>
              <w:t>BENEFICIALLY</w:t>
            </w:r>
          </w:p>
        </w:tc>
        <w:tc>
          <w:tcPr>
            <w:tcW w:w="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3"/>
              </w:rPr>
              <w:t>who exercise voting and investment discretion with respect to the shares held by SC GGFII and SC GGFII PF are Messrs.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0" w:type="dxa"/>
            <w:vAlign w:val="bottom"/>
            <w:tcBorders>
              <w:left w:val="single" w:sz="8" w:color="auto"/>
            </w:tcBorders>
          </w:tcPr>
          <w:p>
            <w:pPr>
              <w:spacing w:after="0"/>
              <w:rPr>
                <w:sz w:val="21"/>
                <w:szCs w:val="21"/>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6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DL and MA.</w:t>
            </w:r>
          </w:p>
        </w:tc>
        <w:tc>
          <w:tcPr>
            <w:tcW w:w="2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23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right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674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674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6740" w:type="dxa"/>
            <w:vAlign w:val="bottom"/>
          </w:tcPr>
          <w:p>
            <w:pPr>
              <w:ind w:left="180"/>
              <w:spacing w:after="0"/>
              <w:rPr>
                <w:sz w:val="20"/>
                <w:szCs w:val="20"/>
                <w:color w:val="auto"/>
              </w:rPr>
            </w:pPr>
            <w:r>
              <w:rPr>
                <w:rFonts w:ascii="Arial" w:cs="Arial" w:eastAsia="Arial" w:hAnsi="Arial"/>
                <w:sz w:val="18"/>
                <w:szCs w:val="18"/>
                <w:color w:val="auto"/>
              </w:rPr>
              <w:t>132,018</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6740" w:type="dxa"/>
            <w:vAlign w:val="bottom"/>
            <w:tcBorders>
              <w:bottom w:val="single" w:sz="8" w:color="auto"/>
            </w:tcBorders>
          </w:tcPr>
          <w:p>
            <w:pPr>
              <w:spacing w:after="0"/>
              <w:rPr>
                <w:sz w:val="5"/>
                <w:szCs w:val="5"/>
                <w:color w:val="auto"/>
              </w:rPr>
            </w:pPr>
          </w:p>
        </w:tc>
        <w:tc>
          <w:tcPr>
            <w:tcW w:w="2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w:t>
            </w:r>
          </w:p>
        </w:tc>
        <w:tc>
          <w:tcPr>
            <w:tcW w:w="674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6740" w:type="dxa"/>
            <w:vAlign w:val="bottom"/>
            <w:vMerge w:val="continue"/>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0"/>
              </w:rPr>
              <w:t>5,240,534 shares, of which 5,176,371 shares of Class B common stock are directly owned by SC GGFII and 64,163 shares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2"/>
              </w:rPr>
              <w:t>Class B common stock are directly owned by SC GGFII PF. The General Partner of each of SC GGFII and SC GGFII PF 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2"/>
              </w:rPr>
              <w:t>SCGGFII MGMT. SC US TTGP is the General Partner of SCGGFII MGMT. The directors and stockholders of SC US TTGP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3"/>
              </w:rPr>
              <w:t>who exercise voting and investment discretion with respect to the shares held by SC GGFII and SC GGFII PF are Messrs.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6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DL and MA.</w:t>
            </w:r>
          </w:p>
        </w:tc>
        <w:tc>
          <w:tcPr>
            <w:tcW w:w="2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20"/>
                <w:szCs w:val="20"/>
                <w:color w:val="auto"/>
              </w:rPr>
            </w:pPr>
          </w:p>
        </w:tc>
        <w:tc>
          <w:tcPr>
            <w:tcW w:w="8320" w:type="dxa"/>
            <w:vAlign w:val="bottom"/>
            <w:gridSpan w:val="5"/>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7"/>
              </w:rPr>
              <w:t>5,372,552</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20"/>
                <w:szCs w:val="20"/>
                <w:color w:val="auto"/>
              </w:rPr>
            </w:pPr>
          </w:p>
        </w:tc>
        <w:tc>
          <w:tcPr>
            <w:tcW w:w="832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auto"/>
            </w:tcBorders>
          </w:tcPr>
          <w:p>
            <w:pPr>
              <w:spacing w:after="0"/>
              <w:rPr>
                <w:sz w:val="19"/>
                <w:szCs w:val="19"/>
                <w:color w:val="auto"/>
              </w:rPr>
            </w:pPr>
          </w:p>
        </w:tc>
        <w:tc>
          <w:tcPr>
            <w:tcW w:w="832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4.6%</w:t>
            </w:r>
            <w:r>
              <w:rPr>
                <w:rFonts w:ascii="Arial" w:cs="Arial" w:eastAsia="Arial" w:hAnsi="Arial"/>
                <w:sz w:val="15"/>
                <w:szCs w:val="15"/>
                <w:color w:val="auto"/>
              </w:rPr>
              <w:t>1</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20"/>
                <w:szCs w:val="20"/>
                <w:color w:val="auto"/>
              </w:rPr>
            </w:pPr>
          </w:p>
        </w:tc>
        <w:tc>
          <w:tcPr>
            <w:tcW w:w="832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20" w:hanging="452"/>
        <w:spacing w:after="0" w:line="277"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Based on a total of 111,794,527 shares outstanding as of November 22, 2019, as reported in the Issuer’s Quarterly Report on Form10-Q filed with the Securities and Exchange Commission on December 9, 2019.</w:t>
      </w:r>
    </w:p>
    <w:p>
      <w:pPr>
        <w:sectPr>
          <w:pgSz w:w="11900" w:h="16838" w:orient="portrait"/>
          <w:cols w:equalWidth="0" w:num="1">
            <w:col w:w="11440"/>
          </w:cols>
          <w:pgMar w:left="240" w:top="274"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1780" w:type="dxa"/>
            <w:vAlign w:val="bottom"/>
            <w:gridSpan w:val="6"/>
          </w:tcPr>
          <w:p>
            <w:pPr>
              <w:jc w:val="center"/>
              <w:ind w:right="80"/>
              <w:spacing w:after="0"/>
              <w:rPr>
                <w:sz w:val="20"/>
                <w:szCs w:val="20"/>
                <w:color w:val="auto"/>
              </w:rPr>
            </w:pPr>
            <w:r>
              <w:rPr>
                <w:rFonts w:ascii="Arial" w:cs="Arial" w:eastAsia="Arial" w:hAnsi="Arial"/>
                <w:sz w:val="18"/>
                <w:szCs w:val="18"/>
                <w:color w:val="auto"/>
                <w:w w:val="92"/>
              </w:rPr>
              <w:t>CUSIP No. 98980L101</w:t>
            </w:r>
          </w:p>
        </w:tc>
        <w:tc>
          <w:tcPr>
            <w:tcW w:w="360" w:type="dxa"/>
            <w:vAlign w:val="bottom"/>
          </w:tcPr>
          <w:p>
            <w:pPr>
              <w:spacing w:after="0"/>
              <w:rPr>
                <w:sz w:val="20"/>
                <w:szCs w:val="20"/>
                <w:color w:val="auto"/>
              </w:rPr>
            </w:pPr>
          </w:p>
        </w:tc>
        <w:tc>
          <w:tcPr>
            <w:tcW w:w="6720" w:type="dxa"/>
            <w:vAlign w:val="bottom"/>
          </w:tcPr>
          <w:p>
            <w:pPr>
              <w:ind w:left="3060"/>
              <w:spacing w:after="0"/>
              <w:rPr>
                <w:sz w:val="20"/>
                <w:szCs w:val="20"/>
                <w:color w:val="auto"/>
              </w:rPr>
            </w:pPr>
            <w:r>
              <w:rPr>
                <w:rFonts w:ascii="Arial" w:cs="Arial" w:eastAsia="Arial" w:hAnsi="Arial"/>
                <w:sz w:val="18"/>
                <w:szCs w:val="18"/>
                <w:color w:val="auto"/>
              </w:rPr>
              <w:t>SCHEDULE 13G</w:t>
            </w:r>
          </w:p>
        </w:tc>
        <w:tc>
          <w:tcPr>
            <w:tcW w:w="2580" w:type="dxa"/>
            <w:vAlign w:val="bottom"/>
          </w:tcPr>
          <w:p>
            <w:pPr>
              <w:ind w:left="1100"/>
              <w:spacing w:after="0"/>
              <w:rPr>
                <w:sz w:val="20"/>
                <w:szCs w:val="20"/>
                <w:color w:val="auto"/>
              </w:rPr>
            </w:pPr>
            <w:r>
              <w:rPr>
                <w:rFonts w:ascii="Arial" w:cs="Arial" w:eastAsia="Arial" w:hAnsi="Arial"/>
                <w:sz w:val="18"/>
                <w:szCs w:val="18"/>
                <w:color w:val="auto"/>
                <w:w w:val="85"/>
              </w:rPr>
              <w:t>Page 12 of 16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gridSpan w:val="2"/>
          </w:tcPr>
          <w:p>
            <w:pPr>
              <w:spacing w:after="0"/>
              <w:rPr>
                <w:sz w:val="12"/>
                <w:szCs w:val="12"/>
                <w:color w:val="auto"/>
              </w:rPr>
            </w:pPr>
          </w:p>
        </w:tc>
        <w:tc>
          <w:tcPr>
            <w:tcW w:w="672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auto"/>
            </w:tcBorders>
          </w:tcPr>
          <w:p>
            <w:pPr>
              <w:spacing w:after="0"/>
              <w:rPr>
                <w:sz w:val="19"/>
                <w:szCs w:val="19"/>
                <w:color w:val="auto"/>
              </w:rPr>
            </w:pPr>
          </w:p>
        </w:tc>
        <w:tc>
          <w:tcPr>
            <w:tcW w:w="8300" w:type="dxa"/>
            <w:vAlign w:val="bottom"/>
            <w:gridSpan w:val="5"/>
          </w:tcPr>
          <w:p>
            <w:pPr>
              <w:ind w:left="160"/>
              <w:spacing w:after="0"/>
              <w:rPr>
                <w:sz w:val="20"/>
                <w:szCs w:val="20"/>
                <w:color w:val="auto"/>
              </w:rPr>
            </w:pPr>
            <w:r>
              <w:rPr>
                <w:rFonts w:ascii="Arial" w:cs="Arial" w:eastAsia="Arial" w:hAnsi="Arial"/>
                <w:sz w:val="18"/>
                <w:szCs w:val="18"/>
                <w:color w:val="auto"/>
              </w:rPr>
              <w:t>NAME OF REPORTING PERSON</w:t>
            </w:r>
          </w:p>
        </w:tc>
        <w:tc>
          <w:tcPr>
            <w:tcW w:w="2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3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DOUGLAS LEONE (“DL”)</w:t>
            </w: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8300" w:type="dxa"/>
            <w:vAlign w:val="bottom"/>
            <w:gridSpan w:val="5"/>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w w:val="99"/>
              </w:rPr>
              <w:t>(b)</w:t>
            </w:r>
          </w:p>
        </w:tc>
        <w:tc>
          <w:tcPr>
            <w:tcW w:w="360" w:type="dxa"/>
            <w:vAlign w:val="bottom"/>
          </w:tcPr>
          <w:p>
            <w:pPr>
              <w:jc w:val="right"/>
              <w:ind w:right="50"/>
              <w:spacing w:after="0" w:line="181" w:lineRule="exact"/>
              <w:rPr>
                <w:sz w:val="20"/>
                <w:szCs w:val="20"/>
                <w:color w:val="auto"/>
              </w:rPr>
            </w:pPr>
            <w:r>
              <w:rPr>
                <w:rFonts w:ascii="MS PGothic" w:cs="MS PGothic" w:eastAsia="MS PGothic" w:hAnsi="MS PGothic"/>
                <w:sz w:val="18"/>
                <w:szCs w:val="18"/>
                <w:color w:val="auto"/>
              </w:rPr>
              <w:t>☐</w:t>
            </w:r>
          </w:p>
        </w:tc>
        <w:tc>
          <w:tcPr>
            <w:tcW w:w="672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6720" w:type="dxa"/>
            <w:vAlign w:val="bottom"/>
            <w:tcBorders>
              <w:bottom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580" w:type="dxa"/>
            <w:vAlign w:val="bottom"/>
            <w:gridSpan w:val="4"/>
          </w:tcPr>
          <w:p>
            <w:pPr>
              <w:ind w:left="160"/>
              <w:spacing w:after="0"/>
              <w:rPr>
                <w:sz w:val="20"/>
                <w:szCs w:val="20"/>
                <w:color w:val="auto"/>
              </w:rPr>
            </w:pPr>
            <w:r>
              <w:rPr>
                <w:rFonts w:ascii="Arial" w:cs="Arial" w:eastAsia="Arial" w:hAnsi="Arial"/>
                <w:sz w:val="18"/>
                <w:szCs w:val="18"/>
                <w:color w:val="auto"/>
              </w:rPr>
              <w:t>SEC USE ONLY</w:t>
            </w:r>
          </w:p>
        </w:tc>
        <w:tc>
          <w:tcPr>
            <w:tcW w:w="6720" w:type="dxa"/>
            <w:vAlign w:val="bottom"/>
          </w:tcPr>
          <w:p>
            <w:pPr>
              <w:spacing w:after="0"/>
              <w:rPr>
                <w:sz w:val="19"/>
                <w:szCs w:val="19"/>
                <w:color w:val="auto"/>
              </w:rPr>
            </w:pPr>
          </w:p>
        </w:tc>
        <w:tc>
          <w:tcPr>
            <w:tcW w:w="2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6720" w:type="dxa"/>
            <w:vAlign w:val="bottom"/>
            <w:tcBorders>
              <w:bottom w:val="single" w:sz="8" w:color="auto"/>
            </w:tcBorders>
          </w:tcPr>
          <w:p>
            <w:pPr>
              <w:spacing w:after="0"/>
              <w:rPr>
                <w:sz w:val="21"/>
                <w:szCs w:val="21"/>
                <w:color w:val="auto"/>
              </w:rPr>
            </w:pPr>
          </w:p>
        </w:tc>
        <w:tc>
          <w:tcPr>
            <w:tcW w:w="2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830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2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USA</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67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192,083</w:t>
            </w: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67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0"/>
              </w:rPr>
              <w:t>5,240,534 shares, of which 5,176,371 shares of Class B common stock are directly owned by SC GGFII and 64,163 shares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2"/>
              </w:rPr>
              <w:t>Class B common stock are directly owned by SC GGFII PF. The General Partner of each of SC GGFII and SC GGFII PF 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1"/>
              </w:rPr>
              <w:t>SHARES</w:t>
            </w:r>
          </w:p>
        </w:tc>
        <w:tc>
          <w:tcPr>
            <w:tcW w:w="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2"/>
              </w:rPr>
              <w:t>SCGGFII MGMT. SC US TTGP is the General Partner of SCGGFII MGMT. The directors and stockholders of SC US TTGP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Borders>
              <w:left w:val="single" w:sz="8" w:color="auto"/>
            </w:tcBorders>
            <w:gridSpan w:val="3"/>
          </w:tcPr>
          <w:p>
            <w:pPr>
              <w:ind w:left="240"/>
              <w:spacing w:after="0"/>
              <w:rPr>
                <w:sz w:val="20"/>
                <w:szCs w:val="20"/>
                <w:color w:val="auto"/>
              </w:rPr>
            </w:pPr>
            <w:r>
              <w:rPr>
                <w:rFonts w:ascii="Arial" w:cs="Arial" w:eastAsia="Arial" w:hAnsi="Arial"/>
                <w:sz w:val="18"/>
                <w:szCs w:val="18"/>
                <w:color w:val="auto"/>
                <w:w w:val="97"/>
              </w:rPr>
              <w:t>BENEFICIALLY</w:t>
            </w:r>
          </w:p>
        </w:tc>
        <w:tc>
          <w:tcPr>
            <w:tcW w:w="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3"/>
              </w:rPr>
              <w:t>who exercise voting and investment discretion with respect to the shares held by SC GGFII and SC GGFII PF are Messrs.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0" w:type="dxa"/>
            <w:vAlign w:val="bottom"/>
            <w:tcBorders>
              <w:left w:val="single" w:sz="8" w:color="auto"/>
            </w:tcBorders>
          </w:tcPr>
          <w:p>
            <w:pPr>
              <w:spacing w:after="0"/>
              <w:rPr>
                <w:sz w:val="21"/>
                <w:szCs w:val="21"/>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DL and MA.</w:t>
            </w:r>
          </w:p>
        </w:tc>
        <w:tc>
          <w:tcPr>
            <w:tcW w:w="2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23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right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67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89"/>
              </w:rPr>
              <w:t>PERSON</w:t>
            </w:r>
          </w:p>
        </w:tc>
        <w:tc>
          <w:tcPr>
            <w:tcW w:w="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6720" w:type="dxa"/>
            <w:vAlign w:val="bottom"/>
          </w:tcPr>
          <w:p>
            <w:pPr>
              <w:ind w:left="180"/>
              <w:spacing w:after="0"/>
              <w:rPr>
                <w:sz w:val="20"/>
                <w:szCs w:val="20"/>
                <w:color w:val="auto"/>
              </w:rPr>
            </w:pPr>
            <w:r>
              <w:rPr>
                <w:rFonts w:ascii="Arial" w:cs="Arial" w:eastAsia="Arial" w:hAnsi="Arial"/>
                <w:sz w:val="18"/>
                <w:szCs w:val="18"/>
                <w:color w:val="auto"/>
              </w:rPr>
              <w:t>192,083</w:t>
            </w: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230"/>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w:t>
            </w:r>
          </w:p>
        </w:tc>
        <w:tc>
          <w:tcPr>
            <w:tcW w:w="67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6720" w:type="dxa"/>
            <w:vAlign w:val="bottom"/>
            <w:vMerge w:val="continue"/>
          </w:tcPr>
          <w:p>
            <w:pPr>
              <w:spacing w:after="0"/>
              <w:rPr>
                <w:sz w:val="7"/>
                <w:szCs w:val="7"/>
                <w:color w:val="auto"/>
              </w:rPr>
            </w:pPr>
          </w:p>
        </w:tc>
        <w:tc>
          <w:tcPr>
            <w:tcW w:w="2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93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0"/>
              </w:rPr>
              <w:t>5,240,534 shares, of which 5,176,371 shares of Class B common stock are directly owned by SC GGFII and 64,163 shares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2"/>
              </w:rPr>
              <w:t>Class B common stock are directly owned by SC GGFII PF. The General Partner of each of SC GGFII and SC GGFII PF 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2"/>
              </w:rPr>
              <w:t>SCGGFII MGMT. SC US TTGP is the General Partner of SCGGFII MGMT. The directors and stockholders of SC US TTGP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3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3"/>
              </w:rPr>
              <w:t>who exercise voting and investment discretion with respect to the shares held by SC GGFII and SC GGFII PF are Messrs.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6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DL and MA.</w:t>
            </w:r>
          </w:p>
        </w:tc>
        <w:tc>
          <w:tcPr>
            <w:tcW w:w="25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20"/>
                <w:szCs w:val="20"/>
                <w:color w:val="auto"/>
              </w:rPr>
            </w:pPr>
          </w:p>
        </w:tc>
        <w:tc>
          <w:tcPr>
            <w:tcW w:w="8300" w:type="dxa"/>
            <w:vAlign w:val="bottom"/>
            <w:gridSpan w:val="5"/>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7"/>
              </w:rPr>
              <w:t>5,432,617</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20"/>
                <w:szCs w:val="20"/>
                <w:color w:val="auto"/>
              </w:rPr>
            </w:pPr>
          </w:p>
        </w:tc>
        <w:tc>
          <w:tcPr>
            <w:tcW w:w="8300" w:type="dxa"/>
            <w:vAlign w:val="bottom"/>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auto"/>
            </w:tcBorders>
          </w:tcPr>
          <w:p>
            <w:pPr>
              <w:spacing w:after="0"/>
              <w:rPr>
                <w:sz w:val="19"/>
                <w:szCs w:val="19"/>
                <w:color w:val="auto"/>
              </w:rPr>
            </w:pPr>
          </w:p>
        </w:tc>
        <w:tc>
          <w:tcPr>
            <w:tcW w:w="830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2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4.6%</w:t>
            </w:r>
            <w:r>
              <w:rPr>
                <w:rFonts w:ascii="Arial" w:cs="Arial" w:eastAsia="Arial" w:hAnsi="Arial"/>
                <w:sz w:val="15"/>
                <w:szCs w:val="15"/>
                <w:color w:val="auto"/>
              </w:rPr>
              <w:t>1</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20"/>
                <w:szCs w:val="20"/>
                <w:color w:val="auto"/>
              </w:rPr>
            </w:pPr>
          </w:p>
        </w:tc>
        <w:tc>
          <w:tcPr>
            <w:tcW w:w="83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20" w:hanging="452"/>
        <w:spacing w:after="0" w:line="277"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8"/>
          <w:szCs w:val="18"/>
          <w:color w:val="auto"/>
        </w:rPr>
        <w:t>Based on a total of 111,794,527 shares outstanding as of November 22, 2019, as reported in the Issuer’s Quarterly Report on Form10-Q filed with the Securities and Exchange Commission on December 9, 2019.</w:t>
      </w:r>
    </w:p>
    <w:p>
      <w:pPr>
        <w:sectPr>
          <w:pgSz w:w="11900" w:h="16838" w:orient="portrait"/>
          <w:cols w:equalWidth="0" w:num="1">
            <w:col w:w="11440"/>
          </w:cols>
          <w:pgMar w:left="240" w:top="274" w:right="219" w:bottom="1440" w:gutter="0" w:footer="0" w:header="0"/>
        </w:sectPr>
      </w:pPr>
    </w:p>
    <w:bookmarkStart w:id="12" w:name="page13"/>
    <w:bookmarkEnd w:id="12"/>
    <w:p>
      <w:pPr>
        <w:spacing w:after="0"/>
        <w:tabs>
          <w:tab w:leader="none" w:pos="5180" w:val="left"/>
          <w:tab w:leader="none" w:pos="9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13 of 16 Pages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Name of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Address of Issuer’s Principal Executive Offices: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55 Almaden Boulevard, 6th Floor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95113</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Name of Persons Filing: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U.S. Growth Fund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SCGF V Management,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U.S. Growth Fund VII,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U.S. Growth VII Principals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 U.S. Growth VII Management,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Global Growth Fund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Global Growth II Principals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 Global Growth II Management,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 US (TTGP),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Abramson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 Leone</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General Partner of SC USGF V is SCGF V MGMT. The General Partner of each of SC USGF VII and SC USGF VII PF is SC USG VII MGMT. The General Partner of each of SC GGFII and SC GGFII PF is SCGGFII MGMT. The General Partner of each of SCGF V MGMT, SC USG VII MGMT and SCGGFII MGMT is SC US TTGP. The directors and stockholders of SC US TTGP who exercise voting and investment discretion with respect to the shares held by SC GGFII and SC GGFII PF are Messrs. DL and MA.</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Address of Principal Business Office or, if none, Residence: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2800 Sand Hill Road, Suite 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Citizenship:</w:t>
      </w:r>
    </w:p>
    <w:p>
      <w:pPr>
        <w:spacing w:after="0" w:line="11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SC USGF V, SCGF V MGMT, SC USGF VII, SC USGF VII PF, SC USG VII MGMT, SC GGFII, SC GGFII PF, SCGGFII MGMT, SC US TTGP: Cayman Islands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 DL: USA</w:t>
      </w:r>
    </w:p>
    <w:p>
      <w:pPr>
        <w:spacing w:after="0" w:line="103" w:lineRule="exact"/>
        <w:rPr>
          <w:sz w:val="20"/>
          <w:szCs w:val="20"/>
          <w:color w:val="auto"/>
        </w:rPr>
      </w:pPr>
    </w:p>
    <w:p>
      <w:pPr>
        <w:ind w:right="9500" w:firstLine="464"/>
        <w:spacing w:after="0" w:line="402" w:lineRule="auto"/>
        <w:tabs>
          <w:tab w:leader="none" w:pos="7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CUSIP Number: 98980L101</w:t>
      </w:r>
    </w:p>
    <w:p>
      <w:pPr>
        <w:spacing w:after="0" w:line="2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OWNERSHIP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ROWS 5 THROUGH 11 OF COVER PAGES</w:t>
      </w:r>
    </w:p>
    <w:p>
      <w:pPr>
        <w:spacing w:after="0" w:line="3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13" w:name="page14"/>
    <w:bookmarkEnd w:id="13"/>
    <w:p>
      <w:pPr>
        <w:spacing w:after="0"/>
        <w:tabs>
          <w:tab w:leader="none" w:pos="5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16"/>
          <w:szCs w:val="16"/>
          <w:color w:val="auto"/>
        </w:rPr>
        <w:t>SCHEDULE 13G</w:t>
      </w:r>
    </w:p>
    <w:p>
      <w:pPr>
        <w:spacing w:after="0" w:line="1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OWNERSHIP OF MORE THAN FIVE PERCENT ON BEHALF OF ANOTHER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14 of 16 Pages</w:t>
      </w:r>
    </w:p>
    <w:p>
      <w:pPr>
        <w:spacing w:after="0" w:line="599" w:lineRule="exact"/>
        <w:rPr>
          <w:sz w:val="20"/>
          <w:szCs w:val="20"/>
          <w:color w:val="auto"/>
        </w:rPr>
      </w:pPr>
    </w:p>
    <w:p>
      <w:pPr>
        <w:sectPr>
          <w:pgSz w:w="11900" w:h="16838" w:orient="portrait"/>
          <w:cols w:equalWidth="0" w:num="2">
            <w:col w:w="9240" w:space="720"/>
            <w:col w:w="1460"/>
          </w:cols>
          <w:pgMar w:left="240" w:top="274"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420"/>
          </w:cols>
          <w:pgMar w:left="240" w:top="274" w:right="239" w:bottom="1440" w:gutter="0" w:footer="0" w:header="0"/>
          <w:type w:val="continuous"/>
        </w:sectPr>
      </w:pPr>
    </w:p>
    <w:p>
      <w:pPr>
        <w:spacing w:after="0" w:line="385" w:lineRule="exact"/>
        <w:rPr>
          <w:sz w:val="20"/>
          <w:szCs w:val="20"/>
          <w:color w:val="auto"/>
        </w:rPr>
      </w:pPr>
    </w:p>
    <w:p>
      <w:pPr>
        <w:ind w:left="1140" w:right="40" w:hanging="1133"/>
        <w:spacing w:after="0" w:line="277" w:lineRule="auto"/>
        <w:tabs>
          <w:tab w:leader="none" w:pos="11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IDENTIFICATION AND CLASSIFICATION OF MEMBERS OF THE GROUP.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type w:val="continuous"/>
        </w:sectPr>
      </w:pPr>
    </w:p>
    <w:bookmarkStart w:id="14" w:name="page15"/>
    <w:bookmarkEnd w:id="14"/>
    <w:p>
      <w:pPr>
        <w:spacing w:after="0"/>
        <w:tabs>
          <w:tab w:leader="none" w:pos="5180" w:val="left"/>
          <w:tab w:leader="none" w:pos="9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15 of 16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2020</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Sequoia Capital U.S. Growth Fund V,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SCGF V Management, L.P.</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SC US (TTGP), Ltd.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Douglas Leone, Managing Director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SCGF V Management,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SC US (TTGP), Ltd.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Douglas Leone, Managing Director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Sequoia Capital U.S. Growth Fund VII, L.P.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Sequoia Capital U.S. Growth VII Principals Fund, L.P.</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SC U.S. Growth VII Management, L.P.</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SC US (TTGP), LTD.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Douglas Leone, Managing Director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 U.S. Growth VII Management,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SC US (TTGP), Ltd.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Douglas Leone, Managing Director</w:t>
      </w:r>
    </w:p>
    <w:p>
      <w:pPr>
        <w:sectPr>
          <w:pgSz w:w="11900" w:h="16838" w:orient="portrait"/>
          <w:cols w:equalWidth="0" w:num="1">
            <w:col w:w="11420"/>
          </w:cols>
          <w:pgMar w:left="240" w:top="274" w:right="239" w:bottom="1440" w:gutter="0" w:footer="0" w:header="0"/>
        </w:sectPr>
      </w:pPr>
    </w:p>
    <w:bookmarkStart w:id="15" w:name="page16"/>
    <w:bookmarkEnd w:id="15"/>
    <w:p>
      <w:pPr>
        <w:spacing w:after="0"/>
        <w:tabs>
          <w:tab w:leader="none" w:pos="5180" w:val="left"/>
          <w:tab w:leader="none" w:pos="9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16 of 16 Pages</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Sequoia Capital Global Growth Fund II, L.P.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Sequoia Capital Global Growth II Principals Fund, L.P.</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SC Global Growth II Management, L.P.</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SC US (TTGP), Ltd.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Douglas Leone, Managing Director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 Global Growth II Management,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SC US (TTGP), Ltd.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Douglas Leone, Managing Director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 US (TTGP),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Douglas Leone, Managing Director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Abramson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Abramson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Michael Abramson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Douglas Leone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Douglas Leone</w:t>
      </w:r>
    </w:p>
    <w:sectPr>
      <w:pgSz w:w="11900" w:h="16838" w:orient="portrait"/>
      <w:cols w:equalWidth="0" w:num="1">
        <w:col w:w="1142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bullet"/>
      <w:start w:val="1"/>
    </w:lvl>
  </w:abstractNum>
  <w:abstractNum w:abstractNumId="5">
    <w:nsid w:val="3F2DBA31"/>
    <w:multiLevelType w:val="hybridMultilevel"/>
    <w:lvl w:ilvl="0">
      <w:lvlJc w:val="left"/>
      <w:lvlText w:val="2"/>
      <w:numFmt w:val="bullet"/>
      <w:start w:val="1"/>
    </w:lvl>
  </w:abstractNum>
  <w:abstractNum w:abstractNumId="6">
    <w:nsid w:val="7C83E458"/>
    <w:multiLevelType w:val="hybridMultilevel"/>
    <w:lvl w:ilvl="0">
      <w:lvlJc w:val="left"/>
      <w:lvlText w:val="1"/>
      <w:numFmt w:val="bullet"/>
      <w:start w:val="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2"/>
      <w:numFmt w:val="bullet"/>
      <w:start w:val="1"/>
    </w:lvl>
  </w:abstractNum>
  <w:abstractNum w:abstractNumId="9">
    <w:nsid w:val="436C6125"/>
    <w:multiLevelType w:val="hybridMultilevel"/>
    <w:lvl w:ilvl="0">
      <w:lvlJc w:val="left"/>
      <w:lvlText w:val="3"/>
      <w:numFmt w:val="bullet"/>
      <w:start w:val="1"/>
    </w:lvl>
  </w:abstractNum>
  <w:abstractNum w:abstractNumId="10">
    <w:nsid w:val="628C895D"/>
    <w:multiLevelType w:val="hybridMultilevel"/>
    <w:lvl w:ilvl="0">
      <w:lvlJc w:val="left"/>
      <w:lvlText w:val="4"/>
      <w:numFmt w:val="bullet"/>
      <w:start w:val="1"/>
    </w:lvl>
  </w:abstractNum>
  <w:abstractNum w:abstractNumId="11">
    <w:nsid w:val="333AB105"/>
    <w:multiLevelType w:val="hybridMultilevel"/>
    <w:lvl w:ilvl="0">
      <w:lvlJc w:val="left"/>
      <w:lvlText w:val="9"/>
      <w:numFmt w:val="bullet"/>
      <w:start w:val="1"/>
    </w:lvl>
  </w:abstractNum>
  <w:abstractNum w:abstractNumId="12">
    <w:nsid w:val="721DA317"/>
    <w:multiLevelType w:val="hybridMultilevel"/>
    <w:lvl w:ilvl="0">
      <w:lvlJc w:val="left"/>
      <w:lvlText w:val="%1"/>
      <w:numFmt w:val="decimal"/>
      <w:start w:val="1"/>
    </w:lvl>
    <w:lvl w:ilvl="1">
      <w:lvlJc w:val="left"/>
      <w:lvlText w:val="%2"/>
      <w:numFmt w:val="decimal"/>
      <w:start w:val="10"/>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1"/>
      <w:numFmt w:val="bullet"/>
      <w:start w:val="1"/>
    </w:lvl>
  </w:abstractNum>
  <w:abstractNum w:abstractNumId="15">
    <w:nsid w:val="6763845E"/>
    <w:multiLevelType w:val="hybridMultilevel"/>
    <w:lvl w:ilvl="0">
      <w:lvlJc w:val="left"/>
      <w:lvlText w:val="1"/>
      <w:numFmt w:val="bullet"/>
      <w:start w:val="1"/>
    </w:lvl>
  </w:abstractNum>
  <w:abstractNum w:abstractNumId="16">
    <w:nsid w:val="75A2A8D4"/>
    <w:multiLevelType w:val="hybridMultilevel"/>
    <w:lvl w:ilvl="0">
      <w:lvlJc w:val="left"/>
      <w:lvlText w:val="2"/>
      <w:numFmt w:val="bullet"/>
      <w:start w:val="1"/>
    </w:lvl>
  </w:abstractNum>
  <w:abstractNum w:abstractNumId="17">
    <w:nsid w:val="8EDBDAB"/>
    <w:multiLevelType w:val="hybridMultilevel"/>
    <w:lvl w:ilvl="0">
      <w:lvlJc w:val="left"/>
      <w:lvlText w:val="3"/>
      <w:numFmt w:val="bullet"/>
      <w:start w:val="1"/>
    </w:lvl>
  </w:abstractNum>
  <w:abstractNum w:abstractNumId="18">
    <w:nsid w:val="79838CB2"/>
    <w:multiLevelType w:val="hybridMultilevel"/>
    <w:lvl w:ilvl="0">
      <w:lvlJc w:val="left"/>
      <w:lvlText w:val="4"/>
      <w:numFmt w:val="bullet"/>
      <w:start w:val="1"/>
    </w:lvl>
  </w:abstractNum>
  <w:abstractNum w:abstractNumId="19">
    <w:nsid w:val="4353D0CD"/>
    <w:multiLevelType w:val="hybridMultilevel"/>
    <w:lvl w:ilvl="0">
      <w:lvlJc w:val="left"/>
      <w:lvlText w:val="9"/>
      <w:numFmt w:val="bullet"/>
      <w:start w:val="1"/>
    </w:lvl>
  </w:abstractNum>
  <w:abstractNum w:abstractNumId="20">
    <w:nsid w:val="B03E0C6"/>
    <w:multiLevelType w:val="hybridMultilevel"/>
    <w:lvl w:ilvl="0">
      <w:lvlJc w:val="left"/>
      <w:lvlText w:val="%1"/>
      <w:numFmt w:val="decimal"/>
      <w:start w:val="1"/>
    </w:lvl>
    <w:lvl w:ilvl="1">
      <w:lvlJc w:val="left"/>
      <w:lvlText w:val="%2"/>
      <w:numFmt w:val="decimal"/>
      <w:start w:val="10"/>
    </w:lvl>
  </w:abstractNum>
  <w:abstractNum w:abstractNumId="21">
    <w:nsid w:val="189A769B"/>
    <w:multiLevelType w:val="hybridMultilevel"/>
    <w:lvl w:ilvl="0">
      <w:lvlJc w:val="left"/>
      <w:lvlText w:val="1"/>
      <w:numFmt w:val="bullet"/>
      <w:start w:val="1"/>
    </w:lvl>
  </w:abstractNum>
  <w:abstractNum w:abstractNumId="22">
    <w:nsid w:val="54E49EB4"/>
    <w:multiLevelType w:val="hybridMultilevel"/>
    <w:lvl w:ilvl="0">
      <w:lvlJc w:val="left"/>
      <w:lvlText w:val="1"/>
      <w:numFmt w:val="bullet"/>
      <w:start w:val="1"/>
    </w:lvl>
  </w:abstractNum>
  <w:abstractNum w:abstractNumId="23">
    <w:nsid w:val="71F32454"/>
    <w:multiLevelType w:val="hybridMultilevel"/>
    <w:lvl w:ilvl="0">
      <w:lvlJc w:val="left"/>
      <w:lvlText w:val="2"/>
      <w:numFmt w:val="bullet"/>
      <w:start w:val="1"/>
    </w:lvl>
  </w:abstractNum>
  <w:abstractNum w:abstractNumId="24">
    <w:nsid w:val="2CA88611"/>
    <w:multiLevelType w:val="hybridMultilevel"/>
    <w:lvl w:ilvl="0">
      <w:lvlJc w:val="left"/>
      <w:lvlText w:val="3"/>
      <w:numFmt w:val="bullet"/>
      <w:start w:val="1"/>
    </w:lvl>
  </w:abstractNum>
  <w:abstractNum w:abstractNumId="25">
    <w:nsid w:val="836C40E"/>
    <w:multiLevelType w:val="hybridMultilevel"/>
    <w:lvl w:ilvl="0">
      <w:lvlJc w:val="left"/>
      <w:lvlText w:val="4"/>
      <w:numFmt w:val="bullet"/>
      <w:start w:val="1"/>
    </w:lvl>
  </w:abstractNum>
  <w:abstractNum w:abstractNumId="26">
    <w:nsid w:val="2901D82"/>
    <w:multiLevelType w:val="hybridMultilevel"/>
    <w:lvl w:ilvl="0">
      <w:lvlJc w:val="left"/>
      <w:lvlText w:val="9"/>
      <w:numFmt w:val="bullet"/>
      <w:start w:val="1"/>
    </w:lvl>
  </w:abstractNum>
  <w:abstractNum w:abstractNumId="27">
    <w:nsid w:val="3A95F874"/>
    <w:multiLevelType w:val="hybridMultilevel"/>
    <w:lvl w:ilvl="0">
      <w:lvlJc w:val="left"/>
      <w:lvlText w:val="%1"/>
      <w:numFmt w:val="decimal"/>
      <w:start w:val="1"/>
    </w:lvl>
    <w:lvl w:ilvl="1">
      <w:lvlJc w:val="left"/>
      <w:lvlText w:val="%2"/>
      <w:numFmt w:val="decimal"/>
      <w:start w:val="10"/>
    </w:lvl>
  </w:abstractNum>
  <w:abstractNum w:abstractNumId="28">
    <w:nsid w:val="8138641"/>
    <w:multiLevelType w:val="hybridMultilevel"/>
    <w:lvl w:ilvl="0">
      <w:lvlJc w:val="left"/>
      <w:lvlText w:val="1"/>
      <w:numFmt w:val="bullet"/>
      <w:start w:val="1"/>
    </w:lvl>
  </w:abstractNum>
  <w:abstractNum w:abstractNumId="29">
    <w:nsid w:val="1E7FF521"/>
    <w:multiLevelType w:val="hybridMultilevel"/>
    <w:lvl w:ilvl="0">
      <w:lvlJc w:val="left"/>
      <w:lvlText w:val="1"/>
      <w:numFmt w:val="bullet"/>
      <w:start w:val="1"/>
    </w:lvl>
  </w:abstractNum>
  <w:abstractNum w:abstractNumId="30">
    <w:nsid w:val="7C3DBD3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2020-02-14T12:58:22Z</dcterms:created>
  <dcterms:modified xsi:type="dcterms:W3CDTF">2020-02-14T12:58:22Z</dcterms:modified>
</cp:coreProperties>
</file>