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August 21, 2023</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Zoom Video Communications, Inc.</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w:t>
      </w:r>
    </w:p>
    <w:tbl>
      <w:tblPr>
        <w:tblW w:w="5668" w:type="dxa"/>
        <w:jc w:val="center"/>
        <w:tblInd w:w="0" w:type="dxa"/>
        <w:tblLayout w:type="fixed"/>
        <w:tblCellMar>
          <w:top w:w="28" w:type="dxa"/>
          <w:left w:w="28" w:type="dxa"/>
          <w:bottom w:w="28" w:type="dxa"/>
          <w:right w:w="28" w:type="dxa"/>
        </w:tblCellMar>
      </w:tblPr>
      <w:tblGrid>
        <w:gridCol w:w="776"/>
        <w:gridCol w:w="680"/>
        <w:gridCol w:w="688"/>
        <w:gridCol w:w="679"/>
        <w:gridCol w:w="679"/>
        <w:gridCol w:w="682"/>
        <w:gridCol w:w="434"/>
        <w:gridCol w:w="434"/>
        <w:gridCol w:w="616"/>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001-38865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61-1648780</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50" w:after="283"/>
        <w:jc w:val="center"/>
        <w:rPr>
          <w:rFonts w:ascii="Times New Roman;sans-serif" w:hAnsi="Times New Roman;sans-serif"/>
          <w:b/>
          <w:color w:val="000000"/>
          <w:sz w:val="22"/>
        </w:rPr>
      </w:pPr>
      <w:r>
        <w:rPr>
          <w:rFonts w:ascii="Times New Roman;sans-serif" w:hAnsi="Times New Roman;sans-serif"/>
          <w:b/>
          <w:color w:val="000000"/>
          <w:sz w:val="22"/>
        </w:rPr>
        <w:t>55 Almaden Boulevard, 6th Floor</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San Jose, California 95113</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(888) 799-9666</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534" w:type="dxa"/>
        <w:jc w:val="left"/>
        <w:tblInd w:w="0" w:type="dxa"/>
        <w:tblLayout w:type="fixed"/>
        <w:tblCellMar>
          <w:top w:w="28" w:type="dxa"/>
          <w:left w:w="28" w:type="dxa"/>
          <w:bottom w:w="28" w:type="dxa"/>
          <w:right w:w="28" w:type="dxa"/>
        </w:tblCellMar>
      </w:tblPr>
      <w:tblGrid>
        <w:gridCol w:w="1373"/>
        <w:gridCol w:w="1210"/>
        <w:gridCol w:w="1228"/>
        <w:gridCol w:w="484"/>
        <w:gridCol w:w="484"/>
        <w:gridCol w:w="486"/>
        <w:gridCol w:w="956"/>
        <w:gridCol w:w="956"/>
        <w:gridCol w:w="1357"/>
      </w:tblGrid>
      <w:tr>
        <w:trPr/>
        <w:tc>
          <w:tcPr>
            <w:tcW w:w="137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8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ZM</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21, 2023, Zoom Video Communications, Inc. (the “Company”) issued a press release announcing its financial results for the three months ended July 31, 2023.  A copy of the press release is furnished as Exhibit 99.1 to this report and is incorporated by reference.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29"/>
        <w:gridCol w:w="1929"/>
        <w:gridCol w:w="274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zm-20230821ex991.htm">
              <w:r>
                <w:rPr>
                  <w:rStyle w:val="InternetLink"/>
                  <w:rFonts w:ascii="Times New Roman;sans-serif" w:hAnsi="Times New Roman;sans-serif"/>
                  <w:b w:val="false"/>
                  <w:color w:val="0000FF"/>
                  <w:sz w:val="20"/>
                  <w:u w:val="single"/>
                </w:rPr>
                <w:t>Press release dated August 21, 2023 of Zoom Video Communications, Inc.</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5568" w:type="dxa"/>
        <w:jc w:val="left"/>
        <w:tblInd w:w="0" w:type="dxa"/>
        <w:tblLayout w:type="fixed"/>
        <w:tblCellMar>
          <w:top w:w="28" w:type="dxa"/>
          <w:left w:w="28" w:type="dxa"/>
          <w:bottom w:w="28" w:type="dxa"/>
          <w:right w:w="28" w:type="dxa"/>
        </w:tblCellMar>
      </w:tblPr>
      <w:tblGrid>
        <w:gridCol w:w="743"/>
        <w:gridCol w:w="653"/>
        <w:gridCol w:w="659"/>
        <w:gridCol w:w="481"/>
        <w:gridCol w:w="481"/>
        <w:gridCol w:w="481"/>
        <w:gridCol w:w="606"/>
        <w:gridCol w:w="606"/>
        <w:gridCol w:w="858"/>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Zoom Video Communications,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21, 2023</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Steckelberg</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99.1</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Zoom Video Communications Reports Financial Results for the Second Quarter of Fiscal Year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i/>
          <w:color w:val="000000"/>
          <w:sz w:val="20"/>
        </w:rPr>
        <w:t>Second quarter total revenue of $1,138.7 million, up 3.6% year over year as reported and 4.5% in constant currency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i/>
          <w:color w:val="000000"/>
          <w:sz w:val="20"/>
        </w:rPr>
        <w:t>Second quarter Enterprise revenue of $659.5 million, up 10.2% year over year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i/>
          <w:color w:val="000000"/>
          <w:sz w:val="20"/>
        </w:rPr>
        <w:t>Second quarter GAAP operating margin of 15.6% and non-GAAP operating margin of 40.5%</w:t>
      </w:r>
    </w:p>
    <w:p>
      <w:pPr>
        <w:pStyle w:val="TextBody"/>
        <w:bidi w:val="0"/>
        <w:spacing w:lineRule="auto" w:line="288" w:before="120" w:after="283"/>
        <w:ind w:left="0" w:right="0" w:hanging="360"/>
        <w:jc w:val="left"/>
        <w:rPr/>
      </w:pPr>
      <w:r>
        <w:rPr>
          <w:color w:val="000000"/>
        </w:rPr>
        <w:t>•</w:t>
      </w:r>
      <w:r>
        <w:rPr>
          <w:rFonts w:ascii="Times New Roman;sans-serif" w:hAnsi="Times New Roman;sans-serif"/>
          <w:b/>
          <w:i/>
          <w:color w:val="000000"/>
          <w:sz w:val="20"/>
        </w:rPr>
        <w:t>Second quarter operating cash flow of $336.0 million, up 30.6% year over year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i/>
          <w:color w:val="000000"/>
          <w:sz w:val="20"/>
        </w:rPr>
        <w:t>Number of customers contributing more than $100,000 in trailing 12 months revenue up 17.8% year over year</w:t>
      </w:r>
    </w:p>
    <w:p>
      <w:pPr>
        <w:pStyle w:val="TextBody"/>
        <w:bidi w:val="0"/>
        <w:spacing w:lineRule="auto" w:line="288" w:before="240" w:after="283"/>
        <w:jc w:val="left"/>
        <w:rPr/>
      </w:pPr>
      <w:r>
        <w:rPr>
          <w:rFonts w:ascii="Times New Roman;sans-serif" w:hAnsi="Times New Roman;sans-serif"/>
          <w:b/>
          <w:color w:val="000000"/>
          <w:sz w:val="20"/>
        </w:rPr>
        <w:t>San Jose, California – </w:t>
      </w:r>
      <w:r>
        <w:rPr>
          <w:rFonts w:ascii="Times New Roman;sans-serif" w:hAnsi="Times New Roman;sans-serif"/>
          <w:b w:val="false"/>
          <w:color w:val="000000"/>
          <w:sz w:val="20"/>
        </w:rPr>
        <w:t>August 21, 2023 – Zoom Video Communications, Inc. (NASDAQ: ZM), today announced financial results for the second fiscal quarter ended July 31, 2023.</w:t>
      </w:r>
    </w:p>
    <w:p>
      <w:pPr>
        <w:pStyle w:val="TextBody"/>
        <w:bidi w:val="0"/>
        <w:spacing w:lineRule="auto" w:line="276" w:before="120" w:after="283"/>
        <w:jc w:val="left"/>
        <w:rPr>
          <w:color w:val="000000"/>
        </w:rPr>
      </w:pPr>
      <w:r>
        <w:rPr>
          <w:color w:val="000000"/>
        </w:rPr>
        <w:t>“</w:t>
      </w:r>
      <w:r>
        <w:rPr>
          <w:rFonts w:ascii="Times New Roman;sans-serif" w:hAnsi="Times New Roman;sans-serif"/>
          <w:b w:val="false"/>
          <w:color w:val="000000"/>
          <w:sz w:val="20"/>
        </w:rPr>
        <w:t>Our mission of delivering limitless human connection remains core as we continue to innovate and expand our platform to help bring value and enhanced productivity to our customers with new AI features like Zoom IQ Meeting Summary and Team Chat Compose, as well as Intelligent Director. I’m also proud of the team for reinventing modern customer experiences with Zoom Virtual Agent and Zoom Contact Center, which surpassed 500 customers in Q2,” said Eric S. Yuan, Zoom Founder, and CEO. “In addition to delivering innovation to our customers, in Q2 we delivered GAAP EPS of $0.59 and non-GAAP EPS of $1.34, both up meaningfully year over year. With this strong operating discipline, we grew operating cash flow by 31% year over year to $336 million.”</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Second Quarter Fiscal Year 2024 Financial Highlights: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Revenue:</w:t>
      </w:r>
      <w:r>
        <w:rPr>
          <w:color w:val="000000"/>
        </w:rPr>
        <w:t xml:space="preserve"> </w:t>
      </w:r>
      <w:r>
        <w:rPr>
          <w:rFonts w:ascii="Times New Roman;sans-serif" w:hAnsi="Times New Roman;sans-serif"/>
          <w:b w:val="false"/>
          <w:color w:val="000000"/>
          <w:sz w:val="20"/>
        </w:rPr>
        <w:t>Total revenue for the second quarter was $1,138.7 million, up 3.6% year over year. After adjusting for foreign currency impact, revenue in constant currency was $1,148.9 million, up 4.5% year over year. Enterprise revenue was $659.5 million, up 10.2% year over year, and Online revenue was $479.2 million, down 4.3% year over year.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Income from Operations and Operating Margin:</w:t>
      </w:r>
      <w:r>
        <w:rPr>
          <w:color w:val="000000"/>
        </w:rPr>
        <w:t xml:space="preserve"> </w:t>
      </w:r>
      <w:r>
        <w:rPr>
          <w:rFonts w:ascii="Times New Roman;sans-serif" w:hAnsi="Times New Roman;sans-serif"/>
          <w:b w:val="false"/>
          <w:color w:val="000000"/>
          <w:sz w:val="20"/>
        </w:rPr>
        <w:t>GAAP income from operations for the second quarter was $177.6 million, compared to GAAP income from operations of $121.7 million in the second quarter of fiscal year 2023. After adjusting for stock-based compensation expense and related payroll taxes, acquisition-related expenses, restructuring expenses, and litigation settlements, net, non-GAAP income from operations for the second quarter was $461.7 million, compared to non-GAAP income from operations of $393.7 million in the second quarter of fiscal year 2023. For the second quarter, GAAP operating margin was 15.6% and non-GAAP operating margin was 40.5%.</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Net Income and Diluted Net Income Per Share:</w:t>
      </w:r>
      <w:r>
        <w:rPr>
          <w:color w:val="000000"/>
        </w:rPr>
        <w:t xml:space="preserve"> </w:t>
      </w:r>
      <w:r>
        <w:rPr>
          <w:rFonts w:ascii="Times New Roman;sans-serif" w:hAnsi="Times New Roman;sans-serif"/>
          <w:b w:val="false"/>
          <w:color w:val="000000"/>
          <w:sz w:val="20"/>
        </w:rPr>
        <w:t>GAAP net income attributable to common stockholders for the second quarter was $182.0 million, or $0.59 per share, compared to GAAP net income attributable to common stockholders of $45.7 million, or $0.15 per share in the second quarter of fiscal year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for the second quarter was $409.6 million, after adjusting for stock-based compensation expense and related payroll taxes, (gains) losses on strategic investments, net, acquisition-related expenses, restructuring expenses, litigation settlements, net, undistributed earnings attributable to participating securities, and the tax effects on non-GAAP adjustments. Non-GAAP net income per share was $1.34. In the second quarter of fiscal year 2023, non-GAAP net income was $323.5 million, or $1.05 per share.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 xml:space="preserve">Cash and Marketable Securities: </w:t>
      </w:r>
      <w:r>
        <w:rPr>
          <w:rFonts w:ascii="Times New Roman;sans-serif" w:hAnsi="Times New Roman;sans-serif"/>
          <w:b w:val="false"/>
          <w:color w:val="000000"/>
          <w:sz w:val="20"/>
        </w:rPr>
        <w:t>Total cash, cash equivalents, and marketable securities, excluding restricted cash, as of July 31, 2023 was $6.0 billion.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Cash Flow:</w:t>
      </w:r>
      <w:r>
        <w:rPr>
          <w:color w:val="000000"/>
        </w:rPr>
        <w:t xml:space="preserve"> </w:t>
      </w:r>
      <w:r>
        <w:rPr>
          <w:rFonts w:ascii="Times New Roman;sans-serif" w:hAnsi="Times New Roman;sans-serif"/>
          <w:b w:val="false"/>
          <w:color w:val="000000"/>
          <w:sz w:val="20"/>
        </w:rPr>
        <w:t>Net cash provided by operating activities was $336.0 million for the second quarter, compared to $257.2 million in the second quarter of fiscal year 2023, up 30.6% year over year. Free cash flow, which is net cash provided by operating activities less purchases of property and equipment, was $289.4 million, compared to $229.4 million in the second quarter of fiscal year 2023, up 26.2% year over year.</w:t>
      </w:r>
    </w:p>
    <w:p>
      <w:pPr>
        <w:pStyle w:val="TextBody"/>
        <w:bidi w:val="0"/>
        <w:spacing w:lineRule="auto" w:line="288" w:before="240" w:after="283"/>
        <w:jc w:val="left"/>
        <w:rPr/>
      </w:pPr>
      <w:r>
        <w:rPr>
          <w:rFonts w:ascii="Times New Roman;sans-serif" w:hAnsi="Times New Roman;sans-serif"/>
          <w:b/>
          <w:color w:val="000000"/>
          <w:sz w:val="20"/>
        </w:rPr>
        <w:t>Customer Metrics:</w:t>
      </w:r>
      <w:r>
        <w:rPr>
          <w:color w:val="000000"/>
        </w:rPr>
        <w:t> </w:t>
      </w:r>
      <w:r>
        <w:rPr>
          <w:rFonts w:ascii="Times New Roman;sans-serif" w:hAnsi="Times New Roman;sans-serif"/>
          <w:b w:val="false"/>
          <w:color w:val="000000"/>
          <w:sz w:val="20"/>
        </w:rPr>
        <w:t>Drivers of total revenue included acquiring new customers and expanding across existing customers. At the end of the second quarter of fiscal year 2024, Zoom had: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Approximately 218,100 Enterprise customers, up 6.9% from the same quarter last fiscal year.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trailing 12-month net dollar expansion rate for Enterprise customers of 109%.</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3,672 customers contributing more than $100,000 in trailing 12 months revenue, up approximately 17.8% from the same quarter last fiscal year.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Online average monthly churn of 3.2% for the second quarter, down 40 bps from the same quarter last fiscal year.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percentage of total Online MRR from Online customers with a continual term of service of at least 16 months was 72.8%, up 340 bps year over year.</w:t>
      </w:r>
    </w:p>
    <w:p>
      <w:pPr>
        <w:pStyle w:val="TextBody"/>
        <w:bidi w:val="0"/>
        <w:spacing w:lineRule="auto" w:line="288" w:before="240" w:after="283"/>
        <w:jc w:val="left"/>
        <w:rPr/>
      </w:pPr>
      <w:r>
        <w:rPr>
          <w:rFonts w:ascii="Times New Roman;sans-serif" w:hAnsi="Times New Roman;sans-serif"/>
          <w:b/>
          <w:color w:val="000000"/>
          <w:sz w:val="20"/>
        </w:rPr>
        <w:t>Financial Outlook:</w:t>
      </w:r>
      <w:r>
        <w:rPr>
          <w:color w:val="000000"/>
        </w:rPr>
        <w:t> </w:t>
      </w:r>
      <w:r>
        <w:rPr>
          <w:rFonts w:ascii="Times New Roman;sans-serif" w:hAnsi="Times New Roman;sans-serif"/>
          <w:b w:val="false"/>
          <w:color w:val="000000"/>
          <w:sz w:val="20"/>
        </w:rPr>
        <w:t>Zoom is providing the following guidance for its third quarter of fiscal year 2024 and its full fiscal year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Third Quarter Fiscal Year 2024: Total revenue is expected to be between $1.115 billion and $1.120 billion and revenue in constant currency is expected to be between $1.117 billion and $1.122 billion. Non-GAAP income from operations is expected to be between $400.0 million and $405.0 million. Non-GAAP diluted EPS is expected to be between $1.07 and $1.09 with approximately 309 million weighted average shares outstanding.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Full Fiscal Year 2024: Total revenue is expected to be between $4.485 billion and $4.495 billion and revenue in constant currency is expected to be between $4.516 billion and $4.526 billion. Full fiscal year non-GAAP income from operations is expected to be between $1.685 billion and $1.695 billion. Full fiscal year non-GAAP diluted EPS is expected to be between $4.63 and $4.67 with approximately 308 million weighted average shares outstanding.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supplemental financial presentation and other information can be accessed through Zoom’s investor relations website at investors.zoom.us.</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Zoom Video Earnings Call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Zoom will host a Zoom Video Webinar for investors on August 21, 2023 at 2:00 p.m. Pacific Time / 5:00 p.m. Eastern Time to discuss the company’s financial results, business highlights and financial outlook. Investors are invited to join the Zoom Video Webinar by visiting: https://investors.zoom.us/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About Zoom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Zoom is an all-in-one intelligent collaboration platform that makes connecting easier, more immersive, and more dynamic for businesses and individuals. Zoom technology puts people at the center, enabling meaningful connections, facilitating modern collaboration, and driving human innovation through solutions like team chat, phone, meetings, omnichannel cloud contact center, smart recordings, whiteboard, and more, in one offering. Founded in 2011, Zoom is publicly traded (NASDAQ:ZM) and headquartered in San Jose, California. Get more info at zoom.com.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press release contains express and implied “forward-looking statements” within the meaning of the Private Securities Litigation Reform Act of 1995, including statements regarding Zoom's financial outlook for the third quarter of fiscal year 2024 and full fiscal year 2024, Zoom’s market position, opportunities, and growth strategy, product initiatives and go-to-market motions and the expected benefits resulting from the same, and market trends.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other macroeconomic conditions, including inflation and at the current scale of our business, on the overall economic environment, any or all of which will have an impact on demand for remote work solutions for businesses as well as overall distributed, face-to-face interactions and collaboration using Zoom, delays or outages in services from our co-located data centers, failures in internet infrastructure or interference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access which could cause current or potential users to believe that our systems are unreliable, market volatility,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fiscal quarter ended April 30, 2023.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Income from Operations and Non-GAAP Operating Margin. Zoom defines non-GAAP income from operations as income from operations excluding stock-based compensation expense and related payroll taxes, acquisition-related expenses, restructuring expenses, and litigation settlements, net.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Restructuring expenses are expenses associated with a formal restructuring plan and may include employee notice period costs and severance payments, and other related expenses. Zoom excludes these restructuring expenses because they are distinct from ongoing operational costs and Zoom does not believe they are reflective of current and expected future business performance and operating results. Zoom excludes significant litigation settlements, net of amounts covered by insurance, that we deem not to be in the ordinary course of our business. In particular, Zoom believes the consideration of measures that exclude such expenses can assist in the comparison of operational performance in different periods which may or may not include such expenses and assist in the comparison with the results of other companies in the industry.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acquisition-related expenses, restructuring expenses, gains/losses on strategic investments, net, litigation settlements, net, undistributed earnings attributable to participating securities, and the tax effects of all non-GAAP adjustments. Zoom excludes gains/loses on strategic investments, net because given the size and volatility in the ongoing adjustments to the valuation of our strategic investments. Zoom believes that excluding these gains or losses facilitates a more meaningful evaluation of our operational performance.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Free Cash Flow.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 Constant Currency. Zoom defines revenue in constant currency as GAAP revenue adjusted for revenue reported in currencies other than United States dollars as if they were converted into United States dollars using the average exchange rates from the comparative period rather than the actual exchange rates in effect during the respective periods. Zoom provides revenue in constant currency information as a framework for assessing how Zoom's underlying businesses performed period to period, excluding the effects of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Customer Metrics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Zoom defines a customer as a separate and distinct buying entity, which can be a single paid host or an organization of any size (including a distinct unit of an organization) that has multiple paid hosts. Zoom defines Enterprise customers as distinct business units who have been engaged by either our direct sales team, resellers, or strategic partners. All other customers that subscribe to our services directly through our website are referred to as Online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Zoom calculates net dollar expansion rate as of a period end by starting with the annual recurring revenue (“ARR”) from Enterprise customers as of 12 months prior (“Prior Period ARR”). Zoom defines ARR as the annualized revenue run rate of 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Zoom calculates online average monthly churn by starting with the Online customer MRR as of the beginning of the applicable quarter (“Entry MRR”). Zoom defines Entry MRR as the recurring revenue run-rate of subscription agreements from all Online customers except for subscriptions that Zoom recorded as churn in a previous quarter based on the customers' earlier indication to us of their intention to cancel that subscription. Zoom then determines the MRR related to customers who canceled or downgraded their subscription or notified us of that intention during the applicable quarter (“Applicable Quarter MRR Churn”) and divides the Applicable Quarter MRR Churn by the applicable quarter Entry MRR to arrive at the MRR churn rate for Online Customers for the applicable quarter. Zoom then divides that amount by three to calculate the online average monthly churn.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Public Relations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Colleen Rodriguez</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Head of Global Public Relations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press@zoom.us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Investor Relations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Tom McCallum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Head of Investor Relations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investors@zoom.us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7191" w:type="dxa"/>
        <w:jc w:val="center"/>
        <w:tblInd w:w="0" w:type="dxa"/>
        <w:tblLayout w:type="fixed"/>
        <w:tblCellMar>
          <w:top w:w="28" w:type="dxa"/>
          <w:left w:w="28" w:type="dxa"/>
          <w:bottom w:w="28" w:type="dxa"/>
          <w:right w:w="28" w:type="dxa"/>
        </w:tblCellMar>
      </w:tblPr>
      <w:tblGrid>
        <w:gridCol w:w="1405"/>
        <w:gridCol w:w="1239"/>
        <w:gridCol w:w="1256"/>
        <w:gridCol w:w="109"/>
        <w:gridCol w:w="109"/>
        <w:gridCol w:w="109"/>
        <w:gridCol w:w="211"/>
        <w:gridCol w:w="976"/>
        <w:gridCol w:w="109"/>
        <w:gridCol w:w="109"/>
        <w:gridCol w:w="109"/>
        <w:gridCol w:w="109"/>
        <w:gridCol w:w="211"/>
        <w:gridCol w:w="976"/>
        <w:gridCol w:w="154"/>
      </w:tblGrid>
      <w:tr>
        <w:trPr/>
        <w:tc>
          <w:tcPr>
            <w:tcW w:w="140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w:t>
              <w:br/>
              <w:t>2023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6,356,412 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8,923,108 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8,128,065 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1,738,644 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1,921,458 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6,206,607 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8,923,108 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8,128,065 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The amount of unbilled accounts receivable included within accounts receivable, net on the condensed consolidated balance sheets was $115.6 million and $91.6 million as of July 31, 2023 and January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662"/>
        <w:gridCol w:w="1004"/>
        <w:gridCol w:w="1000"/>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66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2,173,258 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1,637,826 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1,329,018 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strategic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earnings attributable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299,093,452 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298,553,379 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297,281,846 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298,865,676 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305,932,596 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307,160,840 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305,054,771 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306,902,964 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1672"/>
        <w:gridCol w:w="1364"/>
        <w:gridCol w:w="1374"/>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7"/>
        <w:gridCol w:w="741"/>
        <w:gridCol w:w="156"/>
      </w:tblGrid>
      <w:tr>
        <w:trPr/>
        <w:tc>
          <w:tcPr>
            <w:tcW w:w="167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464,878 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losses on strategic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accounts receivable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exchange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discount/premium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783,360 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(1,576,853)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1,306,676 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strategic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(508,361)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for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equity transactions (remitted) to be remitted to employees and tax authorities,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(425,946)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(388,821)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(471,082)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(129,933)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1,073,353 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943,420 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to Non-GAAP Measures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452"/>
        <w:gridCol w:w="784"/>
        <w:gridCol w:w="786"/>
        <w:gridCol w:w="109"/>
        <w:gridCol w:w="109"/>
        <w:gridCol w:w="109"/>
        <w:gridCol w:w="241"/>
        <w:gridCol w:w="945"/>
        <w:gridCol w:w="271"/>
        <w:gridCol w:w="109"/>
        <w:gridCol w:w="109"/>
        <w:gridCol w:w="109"/>
        <w:gridCol w:w="237"/>
        <w:gridCol w:w="949"/>
        <w:gridCol w:w="271"/>
        <w:gridCol w:w="109"/>
        <w:gridCol w:w="109"/>
        <w:gridCol w:w="109"/>
        <w:gridCol w:w="237"/>
        <w:gridCol w:w="949"/>
        <w:gridCol w:w="271"/>
        <w:gridCol w:w="109"/>
        <w:gridCol w:w="109"/>
        <w:gridCol w:w="109"/>
        <w:gridCol w:w="237"/>
        <w:gridCol w:w="949"/>
        <w:gridCol w:w="318"/>
      </w:tblGrid>
      <w:tr>
        <w:trPr/>
        <w:tc>
          <w:tcPr>
            <w:tcW w:w="145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3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308,808 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and related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475,454 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793,367 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net income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159,389 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and related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475,454 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strategic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earnings attributable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effects on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(75,812)</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762,816 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639,271 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net income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3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and non-GAAP weighted-average shares used to compute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299,093,452 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298,553,379 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297,281,846 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298,865,676 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and non-GAAP weighted-average shares used to compute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305,932,596 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307,160,840 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305,054,771 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306,902,964 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783,360 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730,490 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(466,027)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(500,146)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(508,361)</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(255,578)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(388,821)</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 margin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margin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81"/>
        <w:gridCol w:w="872"/>
        <w:gridCol w:w="876"/>
        <w:gridCol w:w="109"/>
        <w:gridCol w:w="109"/>
        <w:gridCol w:w="109"/>
        <w:gridCol w:w="222"/>
        <w:gridCol w:w="1030"/>
        <w:gridCol w:w="114"/>
        <w:gridCol w:w="114"/>
        <w:gridCol w:w="114"/>
        <w:gridCol w:w="114"/>
        <w:gridCol w:w="390"/>
        <w:gridCol w:w="364"/>
        <w:gridCol w:w="914"/>
        <w:gridCol w:w="109"/>
        <w:gridCol w:w="109"/>
        <w:gridCol w:w="109"/>
        <w:gridCol w:w="211"/>
        <w:gridCol w:w="976"/>
        <w:gridCol w:w="109"/>
        <w:gridCol w:w="109"/>
        <w:gridCol w:w="109"/>
        <w:gridCol w:w="109"/>
        <w:gridCol w:w="371"/>
        <w:gridCol w:w="343"/>
        <w:gridCol w:w="1009"/>
      </w:tblGrid>
      <w:tr>
        <w:trPr/>
        <w:tc>
          <w:tcPr>
            <w:tcW w:w="108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2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July 31,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July 31, </w:t>
            </w:r>
          </w:p>
        </w:tc>
      </w:tr>
      <w:tr>
        <w:trPr/>
        <w:tc>
          <w:tcPr>
            <w:tcW w:w="2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YoY Revenue Growth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YoY Revenue Growth (%)</w:t>
            </w:r>
          </w:p>
        </w:tc>
      </w:tr>
      <w:tr>
        <w:trPr/>
        <w:tc>
          <w:tcPr>
            <w:tcW w:w="2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1,138,676 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Constant currency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 constant currency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1,148,866 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4513</Words>
  <Characters>26377</Characters>
  <CharactersWithSpaces>30459</CharactersWithSpaces>
  <Paragraphs>808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