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-591820</wp:posOffset>
            </wp:positionV>
            <wp:extent cx="8255" cy="592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24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-599440</wp:posOffset>
            </wp:positionV>
            <wp:extent cx="825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00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-575945</wp:posOffset>
            </wp:positionV>
            <wp:extent cx="1272540" cy="552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2540" cy="5524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33020</wp:posOffset>
            </wp:positionV>
            <wp:extent cx="6971030" cy="1704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0497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Scheinman Daniel</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360"/>
        <w:spacing w:after="0" w:line="367"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2"/>
        </w:trPr>
        <w:tc>
          <w:tcPr>
            <w:tcW w:w="3840" w:type="dxa"/>
            <w:vAlign w:val="bottom"/>
            <w:gridSpan w:val="2"/>
          </w:tcPr>
          <w:p>
            <w:pPr>
              <w:ind w:left="60"/>
              <w:spacing w:after="0" w:line="20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4"/>
        </w:trPr>
        <w:tc>
          <w:tcPr>
            <w:tcW w:w="20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tcPr>
          <w:p>
            <w:pPr>
              <w:spacing w:after="0"/>
              <w:rPr>
                <w:sz w:val="8"/>
                <w:szCs w:val="8"/>
                <w:color w:val="auto"/>
              </w:rPr>
            </w:pPr>
          </w:p>
        </w:tc>
        <w:tc>
          <w:tcPr>
            <w:tcW w:w="180" w:type="dxa"/>
            <w:vAlign w:val="bottom"/>
          </w:tcPr>
          <w:p>
            <w:pPr>
              <w:spacing w:after="0"/>
              <w:rPr>
                <w:sz w:val="8"/>
                <w:szCs w:val="8"/>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6"/>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vMerge w:val="continue"/>
          </w:tcPr>
          <w:p>
            <w:pPr>
              <w:spacing w:after="0"/>
              <w:rPr>
                <w:sz w:val="11"/>
                <w:szCs w:val="11"/>
                <w:color w:val="auto"/>
              </w:rPr>
            </w:pPr>
          </w:p>
        </w:tc>
        <w:tc>
          <w:tcPr>
            <w:tcW w:w="3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400"/>
              <w:spacing w:after="0" w:line="13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12/29/2020</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0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4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249555</wp:posOffset>
            </wp:positionV>
            <wp:extent cx="6971030" cy="1528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1528445"/>
                    </a:xfrm>
                    <a:prstGeom prst="rect">
                      <a:avLst/>
                    </a:prstGeom>
                    <a:noFill/>
                  </pic:spPr>
                </pic:pic>
              </a:graphicData>
            </a:graphic>
          </wp:anchor>
        </w:drawing>
      </w:r>
    </w:p>
    <w:p>
      <w:pPr>
        <w:spacing w:after="0" w:line="449" w:lineRule="exact"/>
        <w:rPr>
          <w:sz w:val="24"/>
          <w:szCs w:val="24"/>
          <w:color w:val="auto"/>
        </w:rPr>
      </w:pPr>
    </w:p>
    <w:p>
      <w:pPr>
        <w:sectPr>
          <w:pgSz w:w="11900" w:h="16838" w:orient="portrait"/>
          <w:cols w:equalWidth="0" w:num="2">
            <w:col w:w="3760" w:space="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400" w:type="dxa"/>
            <w:vAlign w:val="bottom"/>
          </w:tcPr>
          <w:p>
            <w:pPr>
              <w:spacing w:after="0"/>
              <w:rPr>
                <w:sz w:val="13"/>
                <w:szCs w:val="13"/>
                <w:color w:val="auto"/>
              </w:rPr>
            </w:pPr>
          </w:p>
        </w:tc>
        <w:tc>
          <w:tcPr>
            <w:tcW w:w="1880" w:type="dxa"/>
            <w:vAlign w:val="bottom"/>
            <w:gridSpan w:val="6"/>
          </w:tcPr>
          <w:p>
            <w:pPr>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20"/>
              <w:spacing w:after="0" w:line="121"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6"/>
          </w:tcPr>
          <w:p>
            <w:pPr>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5"/>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5"/>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5"/>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 or</w:t>
            </w: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jc w:val="center"/>
              <w:ind w:left="694"/>
              <w:spacing w:after="0"/>
              <w:rPr>
                <w:sz w:val="20"/>
                <w:szCs w:val="20"/>
                <w:color w:val="auto"/>
              </w:rPr>
            </w:pPr>
            <w:r>
              <w:rPr>
                <w:rFonts w:ascii="Times New Roman" w:cs="Times New Roman" w:eastAsia="Times New Roman" w:hAnsi="Times New Roman"/>
                <w:sz w:val="16"/>
                <w:szCs w:val="16"/>
                <w:color w:val="0000FF"/>
              </w:rPr>
              <w:t>12/29/2020</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20"/>
                <w:szCs w:val="20"/>
                <w:color w:val="auto"/>
              </w:rPr>
            </w:pPr>
          </w:p>
        </w:tc>
        <w:tc>
          <w:tcPr>
            <w:tcW w:w="80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6"/>
                <w:szCs w:val="16"/>
                <w:color w:val="0000FF"/>
              </w:rPr>
              <w:t>266,666</w:t>
            </w: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Pr>
          <w:p>
            <w:pPr>
              <w:spacing w:after="0"/>
              <w:rPr>
                <w:sz w:val="20"/>
                <w:szCs w:val="20"/>
                <w:color w:val="auto"/>
              </w:rPr>
            </w:pPr>
          </w:p>
        </w:tc>
        <w:tc>
          <w:tcPr>
            <w:tcW w:w="680" w:type="dxa"/>
            <w:vAlign w:val="bottom"/>
            <w:vMerge w:val="restart"/>
          </w:tcPr>
          <w:p>
            <w:pPr>
              <w:jc w:val="right"/>
              <w:ind w:right="10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0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6"/>
                <w:szCs w:val="16"/>
                <w:color w:val="0000FF"/>
              </w:rPr>
              <w:t>266,666</w:t>
            </w:r>
          </w:p>
        </w:tc>
        <w:tc>
          <w:tcPr>
            <w:tcW w:w="34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jc w:val="center"/>
              <w:ind w:left="694"/>
              <w:spacing w:after="0"/>
              <w:rPr>
                <w:sz w:val="20"/>
                <w:szCs w:val="20"/>
                <w:color w:val="auto"/>
              </w:rPr>
            </w:pPr>
            <w:r>
              <w:rPr>
                <w:rFonts w:ascii="Times New Roman" w:cs="Times New Roman" w:eastAsia="Times New Roman" w:hAnsi="Times New Roman"/>
                <w:sz w:val="16"/>
                <w:szCs w:val="16"/>
                <w:color w:val="0000FF"/>
              </w:rPr>
              <w:t>12/29/2020</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G</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w:t>
            </w:r>
          </w:p>
        </w:tc>
        <w:tc>
          <w:tcPr>
            <w:tcW w:w="80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6"/>
                <w:szCs w:val="16"/>
                <w:color w:val="0000FF"/>
              </w:rPr>
              <w:t>266,666</w:t>
            </w: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60" w:type="dxa"/>
            <w:vAlign w:val="bottom"/>
          </w:tcPr>
          <w:p>
            <w:pPr>
              <w:spacing w:after="0"/>
              <w:rPr>
                <w:sz w:val="20"/>
                <w:szCs w:val="20"/>
                <w:color w:val="auto"/>
              </w:rPr>
            </w:pPr>
          </w:p>
        </w:tc>
        <w:tc>
          <w:tcPr>
            <w:tcW w:w="680" w:type="dxa"/>
            <w:vAlign w:val="bottom"/>
            <w:vMerge w:val="restart"/>
          </w:tcPr>
          <w:p>
            <w:pPr>
              <w:jc w:val="right"/>
              <w:ind w:right="10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7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0000FF"/>
              </w:rPr>
              <w:t>0</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80" w:type="dxa"/>
            <w:vAlign w:val="bottom"/>
            <w:gridSpan w:val="13"/>
          </w:tcPr>
          <w:p>
            <w:pPr>
              <w:jc w:val="right"/>
              <w:ind w:right="2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0" w:type="dxa"/>
            <w:vAlign w:val="bottom"/>
            <w:gridSpan w:val="5"/>
          </w:tcPr>
          <w:p>
            <w:pPr>
              <w:ind w:left="4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880" w:type="dxa"/>
            <w:vAlign w:val="bottom"/>
            <w:gridSpan w:val="2"/>
            <w:vMerge w:val="restart"/>
          </w:tcPr>
          <w:p>
            <w:pPr>
              <w:jc w:val="center"/>
              <w:ind w:left="61"/>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9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(D)</w:t>
            </w:r>
          </w:p>
        </w:tc>
        <w:tc>
          <w:tcPr>
            <w:tcW w:w="5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300" w:type="dxa"/>
            <w:vAlign w:val="bottom"/>
          </w:tcPr>
          <w:p>
            <w:pPr>
              <w:spacing w:after="0"/>
              <w:rPr>
                <w:sz w:val="10"/>
                <w:szCs w:val="10"/>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Exercisable  Date</w:t>
            </w:r>
          </w:p>
        </w:tc>
        <w:tc>
          <w:tcPr>
            <w:tcW w:w="3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0"/>
                <w:szCs w:val="10"/>
                <w:color w:val="008000"/>
              </w:rPr>
              <w:t>(2)</w:t>
            </w:r>
          </w:p>
        </w:tc>
        <w:tc>
          <w:tcPr>
            <w:tcW w:w="400" w:type="dxa"/>
            <w:vAlign w:val="bottom"/>
          </w:tcPr>
          <w:p>
            <w:pPr>
              <w:spacing w:after="0"/>
              <w:rPr>
                <w:sz w:val="15"/>
                <w:szCs w:val="15"/>
                <w:color w:val="auto"/>
              </w:rPr>
            </w:pPr>
          </w:p>
        </w:tc>
        <w:tc>
          <w:tcPr>
            <w:tcW w:w="480" w:type="dxa"/>
            <w:vAlign w:val="bottom"/>
            <w:vMerge w:val="restart"/>
          </w:tcPr>
          <w:p>
            <w:pPr>
              <w:jc w:val="center"/>
              <w:ind w:right="197"/>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60" w:type="dxa"/>
            <w:vAlign w:val="bottom"/>
          </w:tcPr>
          <w:p>
            <w:pPr>
              <w:spacing w:after="0"/>
              <w:rPr>
                <w:sz w:val="15"/>
                <w:szCs w:val="15"/>
                <w:color w:val="auto"/>
              </w:rPr>
            </w:pPr>
          </w:p>
        </w:tc>
        <w:tc>
          <w:tcPr>
            <w:tcW w:w="680" w:type="dxa"/>
            <w:vAlign w:val="bottom"/>
            <w:vMerge w:val="restart"/>
          </w:tcPr>
          <w:p>
            <w:pPr>
              <w:jc w:val="right"/>
              <w:ind w:right="44"/>
              <w:spacing w:after="0"/>
              <w:rPr>
                <w:sz w:val="20"/>
                <w:szCs w:val="20"/>
                <w:color w:val="auto"/>
              </w:rPr>
            </w:pPr>
            <w:r>
              <w:rPr>
                <w:rFonts w:ascii="Times New Roman" w:cs="Times New Roman" w:eastAsia="Times New Roman" w:hAnsi="Times New Roman"/>
                <w:sz w:val="16"/>
                <w:szCs w:val="16"/>
                <w:color w:val="0000FF"/>
              </w:rPr>
              <w:t>266,666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vMerge w:val="restart"/>
          </w:tcPr>
          <w:p>
            <w:pPr>
              <w:jc w:val="right"/>
              <w:ind w:right="184"/>
              <w:spacing w:after="0" w:line="101" w:lineRule="exact"/>
              <w:rPr>
                <w:sz w:val="20"/>
                <w:szCs w:val="20"/>
                <w:color w:val="auto"/>
              </w:rPr>
            </w:pPr>
            <w:r>
              <w:rPr>
                <w:rFonts w:ascii="Times New Roman" w:cs="Times New Roman" w:eastAsia="Times New Roman" w:hAnsi="Times New Roman"/>
                <w:sz w:val="11"/>
                <w:szCs w:val="11"/>
                <w:color w:val="0000FF"/>
              </w:rPr>
              <w:t>12/29/2020</w:t>
            </w: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restart"/>
          </w:tcPr>
          <w:p>
            <w:pPr>
              <w:jc w:val="center"/>
              <w:ind w:right="304"/>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920" w:type="dxa"/>
            <w:vAlign w:val="bottom"/>
            <w:vMerge w:val="restart"/>
          </w:tcPr>
          <w:p>
            <w:pPr>
              <w:ind w:left="400"/>
              <w:spacing w:after="0" w:line="101" w:lineRule="exact"/>
              <w:rPr>
                <w:sz w:val="20"/>
                <w:szCs w:val="20"/>
                <w:color w:val="auto"/>
              </w:rPr>
            </w:pPr>
            <w:r>
              <w:rPr>
                <w:rFonts w:ascii="Times New Roman" w:cs="Times New Roman" w:eastAsia="Times New Roman" w:hAnsi="Times New Roman"/>
                <w:sz w:val="11"/>
                <w:szCs w:val="11"/>
                <w:color w:val="0000FF"/>
              </w:rPr>
              <w:t>266,666</w:t>
            </w:r>
          </w:p>
        </w:tc>
        <w:tc>
          <w:tcPr>
            <w:tcW w:w="56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620" w:type="dxa"/>
            <w:vAlign w:val="bottom"/>
            <w:gridSpan w:val="2"/>
            <w:vMerge w:val="restart"/>
          </w:tcPr>
          <w:p>
            <w:pPr>
              <w:ind w:left="4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restart"/>
          </w:tcPr>
          <w:p>
            <w:pPr>
              <w:ind w:left="240"/>
              <w:spacing w:after="0" w:line="102"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w:t>
            </w:r>
          </w:p>
        </w:tc>
        <w:tc>
          <w:tcPr>
            <w:tcW w:w="840" w:type="dxa"/>
            <w:vAlign w:val="bottom"/>
            <w:gridSpan w:val="2"/>
            <w:vMerge w:val="restart"/>
          </w:tcPr>
          <w:p>
            <w:pPr>
              <w:jc w:val="right"/>
              <w:ind w:right="183"/>
              <w:spacing w:after="0" w:line="101" w:lineRule="exact"/>
              <w:rPr>
                <w:sz w:val="20"/>
                <w:szCs w:val="20"/>
                <w:color w:val="auto"/>
              </w:rPr>
            </w:pPr>
            <w:r>
              <w:rPr>
                <w:rFonts w:ascii="Times New Roman" w:cs="Times New Roman" w:eastAsia="Times New Roman" w:hAnsi="Times New Roman"/>
                <w:sz w:val="11"/>
                <w:szCs w:val="11"/>
                <w:color w:val="0000FF"/>
              </w:rPr>
              <w:t>790,294</w:t>
            </w:r>
          </w:p>
        </w:tc>
        <w:tc>
          <w:tcPr>
            <w:tcW w:w="600" w:type="dxa"/>
            <w:vAlign w:val="bottom"/>
            <w:vMerge w:val="restart"/>
          </w:tcPr>
          <w:p>
            <w:pPr>
              <w:ind w:left="34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4"/>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Stock (2)</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0"/>
                <w:szCs w:val="10"/>
                <w:color w:val="008000"/>
              </w:rPr>
              <w:t>(2)</w:t>
            </w:r>
          </w:p>
        </w:tc>
        <w:tc>
          <w:tcPr>
            <w:tcW w:w="400" w:type="dxa"/>
            <w:vAlign w:val="bottom"/>
          </w:tcPr>
          <w:p>
            <w:pPr>
              <w:spacing w:after="0"/>
              <w:rPr>
                <w:sz w:val="15"/>
                <w:szCs w:val="15"/>
                <w:color w:val="auto"/>
              </w:rPr>
            </w:pPr>
          </w:p>
        </w:tc>
        <w:tc>
          <w:tcPr>
            <w:tcW w:w="480" w:type="dxa"/>
            <w:vAlign w:val="bottom"/>
            <w:vMerge w:val="restart"/>
          </w:tcPr>
          <w:p>
            <w:pPr>
              <w:jc w:val="center"/>
              <w:ind w:right="197"/>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1,689,412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620" w:type="dxa"/>
            <w:vAlign w:val="bottom"/>
            <w:gridSpan w:val="2"/>
            <w:vMerge w:val="restart"/>
          </w:tcPr>
          <w:p>
            <w:pPr>
              <w:ind w:left="4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restart"/>
          </w:tcPr>
          <w:p>
            <w:pPr>
              <w:jc w:val="right"/>
              <w:ind w:right="143"/>
              <w:spacing w:after="0" w:line="101" w:lineRule="exact"/>
              <w:rPr>
                <w:sz w:val="20"/>
                <w:szCs w:val="20"/>
                <w:color w:val="auto"/>
              </w:rPr>
            </w:pPr>
            <w:r>
              <w:rPr>
                <w:rFonts w:ascii="Times New Roman" w:cs="Times New Roman" w:eastAsia="Times New Roman" w:hAnsi="Times New Roman"/>
                <w:sz w:val="11"/>
                <w:szCs w:val="11"/>
                <w:color w:val="0000FF"/>
              </w:rPr>
              <w:t>1,689,412</w:t>
            </w:r>
          </w:p>
        </w:tc>
        <w:tc>
          <w:tcPr>
            <w:tcW w:w="600" w:type="dxa"/>
            <w:vAlign w:val="bottom"/>
            <w:vMerge w:val="restart"/>
          </w:tcPr>
          <w:p>
            <w:pPr>
              <w:ind w:left="34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4"/>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Stock (2)</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-1944370</wp:posOffset>
            </wp:positionV>
            <wp:extent cx="7035165" cy="1985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1985010"/>
                    </a:xfrm>
                    <a:prstGeom prst="rect">
                      <a:avLst/>
                    </a:prstGeom>
                    <a:noFill/>
                  </pic:spPr>
                </pic:pic>
              </a:graphicData>
            </a:graphic>
          </wp:anchor>
        </w:drawing>
      </w:r>
    </w:p>
    <w:p>
      <w:pPr>
        <w:spacing w:after="0" w:line="6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Dan &amp; Zoe Scheinman Trust Dated 2/23/01, for which the Reporting Person serves as trustee.</w:t>
      </w:r>
    </w:p>
    <w:p>
      <w:pPr>
        <w:spacing w:after="0" w:line="39" w:lineRule="exact"/>
        <w:rPr>
          <w:rFonts w:ascii="Times New Roman" w:cs="Times New Roman" w:eastAsia="Times New Roman" w:hAnsi="Times New Roman"/>
          <w:sz w:val="13"/>
          <w:szCs w:val="13"/>
          <w:color w:val="008000"/>
        </w:rPr>
      </w:pPr>
    </w:p>
    <w:p>
      <w:pPr>
        <w:ind w:left="40" w:right="300" w:hanging="1"/>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3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2017 Scheinman Irrevocable Trust ("2017 Scheinman Trust"). The trustee for 2017 Scheinman Trust is Neuberger Berman Trust Company of Delaware N.A. The Reporting Person's family members are beneficiaries under the 2017 Scheinman Trust.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12/30/2020</w:t>
            </w:r>
          </w:p>
        </w:tc>
        <w:tc>
          <w:tcPr>
            <w:tcW w:w="0" w:type="dxa"/>
            <w:vAlign w:val="bottom"/>
          </w:tcPr>
          <w:p>
            <w:pPr>
              <w:spacing w:after="0"/>
              <w:rPr>
                <w:sz w:val="1"/>
                <w:szCs w:val="1"/>
                <w:color w:val="auto"/>
              </w:rPr>
            </w:pPr>
          </w:p>
        </w:tc>
      </w:tr>
      <w:tr>
        <w:trPr>
          <w:trHeight w:val="81"/>
        </w:trPr>
        <w:tc>
          <w:tcPr>
            <w:tcW w:w="28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056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2020-12-30T18:30:20Z</dcterms:created>
  <dcterms:modified xsi:type="dcterms:W3CDTF">2020-12-30T18:30:20Z</dcterms:modified>
</cp:coreProperties>
</file>