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937895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_________________________</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_________________________</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August 31, 2020</w:t>
      </w:r>
    </w:p>
    <w:p>
      <w:pPr>
        <w:spacing w:after="0" w:line="27"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_________________________</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Zoom Video Communications, Inc.</w:t>
      </w:r>
    </w:p>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5"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_________________________</w:t>
      </w:r>
    </w:p>
    <w:p>
      <w:pPr>
        <w:spacing w:after="0" w:line="33" w:lineRule="exact"/>
        <w:rPr>
          <w:sz w:val="24"/>
          <w:szCs w:val="24"/>
          <w:color w:val="auto"/>
        </w:rPr>
      </w:pPr>
    </w:p>
    <w:tbl>
      <w:tblPr>
        <w:tblLayout w:type="fixed"/>
        <w:tblInd w:w="460" w:type="dxa"/>
        <w:tblCellMar>
          <w:top w:w="0" w:type="dxa"/>
          <w:left w:w="0" w:type="dxa"/>
          <w:bottom w:w="0" w:type="dxa"/>
          <w:right w:w="0" w:type="dxa"/>
        </w:tblCellMar>
      </w:tblPr>
      <w:tr>
        <w:trPr>
          <w:trHeight w:val="256"/>
        </w:trPr>
        <w:tc>
          <w:tcPr>
            <w:tcW w:w="2980" w:type="dxa"/>
            <w:vAlign w:val="bottom"/>
          </w:tcPr>
          <w:p>
            <w:pPr>
              <w:jc w:val="center"/>
              <w:ind w:right="55"/>
              <w:spacing w:after="0"/>
              <w:rPr>
                <w:sz w:val="20"/>
                <w:szCs w:val="20"/>
                <w:color w:val="auto"/>
              </w:rPr>
            </w:pPr>
            <w:r>
              <w:rPr>
                <w:rFonts w:ascii="Arial" w:cs="Arial" w:eastAsia="Arial" w:hAnsi="Arial"/>
                <w:sz w:val="20"/>
                <w:szCs w:val="20"/>
                <w:b w:val="1"/>
                <w:bCs w:val="1"/>
                <w:color w:val="auto"/>
                <w:w w:val="91"/>
              </w:rPr>
              <w:t>Delaware</w:t>
            </w:r>
          </w:p>
        </w:tc>
        <w:tc>
          <w:tcPr>
            <w:tcW w:w="4780" w:type="dxa"/>
            <w:vAlign w:val="bottom"/>
          </w:tcPr>
          <w:p>
            <w:pPr>
              <w:jc w:val="center"/>
              <w:ind w:right="355"/>
              <w:spacing w:after="0"/>
              <w:rPr>
                <w:sz w:val="20"/>
                <w:szCs w:val="20"/>
                <w:color w:val="auto"/>
              </w:rPr>
            </w:pPr>
            <w:r>
              <w:rPr>
                <w:rFonts w:ascii="Arial" w:cs="Arial" w:eastAsia="Arial" w:hAnsi="Arial"/>
                <w:sz w:val="20"/>
                <w:szCs w:val="20"/>
                <w:b w:val="1"/>
                <w:bCs w:val="1"/>
                <w:color w:val="auto"/>
                <w:w w:val="89"/>
              </w:rPr>
              <w:t>001-38865</w:t>
            </w:r>
          </w:p>
        </w:tc>
        <w:tc>
          <w:tcPr>
            <w:tcW w:w="1700" w:type="dxa"/>
            <w:vAlign w:val="bottom"/>
          </w:tcPr>
          <w:p>
            <w:pPr>
              <w:jc w:val="right"/>
              <w:spacing w:after="0"/>
              <w:rPr>
                <w:sz w:val="20"/>
                <w:szCs w:val="20"/>
                <w:color w:val="auto"/>
              </w:rPr>
            </w:pPr>
            <w:r>
              <w:rPr>
                <w:rFonts w:ascii="Arial" w:cs="Arial" w:eastAsia="Arial" w:hAnsi="Arial"/>
                <w:sz w:val="20"/>
                <w:szCs w:val="20"/>
                <w:b w:val="1"/>
                <w:bCs w:val="1"/>
                <w:color w:val="auto"/>
              </w:rPr>
              <w:t>61-1648780</w:t>
            </w:r>
          </w:p>
        </w:tc>
        <w:tc>
          <w:tcPr>
            <w:tcW w:w="0" w:type="dxa"/>
            <w:vAlign w:val="bottom"/>
          </w:tcPr>
          <w:p>
            <w:pPr>
              <w:spacing w:after="0"/>
              <w:rPr>
                <w:sz w:val="1"/>
                <w:szCs w:val="1"/>
                <w:color w:val="auto"/>
              </w:rPr>
            </w:pPr>
          </w:p>
        </w:tc>
      </w:tr>
      <w:tr>
        <w:trPr>
          <w:trHeight w:val="176"/>
        </w:trPr>
        <w:tc>
          <w:tcPr>
            <w:tcW w:w="2980" w:type="dxa"/>
            <w:vAlign w:val="bottom"/>
          </w:tcPr>
          <w:p>
            <w:pPr>
              <w:jc w:val="center"/>
              <w:ind w:right="35"/>
              <w:spacing w:after="0"/>
              <w:rPr>
                <w:sz w:val="20"/>
                <w:szCs w:val="20"/>
                <w:color w:val="auto"/>
              </w:rPr>
            </w:pPr>
            <w:r>
              <w:rPr>
                <w:rFonts w:ascii="Arial" w:cs="Arial" w:eastAsia="Arial" w:hAnsi="Arial"/>
                <w:sz w:val="14"/>
                <w:szCs w:val="14"/>
                <w:b w:val="1"/>
                <w:bCs w:val="1"/>
                <w:color w:val="auto"/>
                <w:w w:val="93"/>
              </w:rPr>
              <w:t>(State or Other Jurisdiction</w:t>
            </w:r>
          </w:p>
        </w:tc>
        <w:tc>
          <w:tcPr>
            <w:tcW w:w="4780" w:type="dxa"/>
            <w:vAlign w:val="bottom"/>
            <w:vMerge w:val="restart"/>
          </w:tcPr>
          <w:p>
            <w:pPr>
              <w:jc w:val="center"/>
              <w:ind w:right="335"/>
              <w:spacing w:after="0"/>
              <w:rPr>
                <w:sz w:val="20"/>
                <w:szCs w:val="20"/>
                <w:color w:val="auto"/>
              </w:rPr>
            </w:pPr>
            <w:r>
              <w:rPr>
                <w:rFonts w:ascii="Arial" w:cs="Arial" w:eastAsia="Arial" w:hAnsi="Arial"/>
                <w:sz w:val="14"/>
                <w:szCs w:val="14"/>
                <w:b w:val="1"/>
                <w:bCs w:val="1"/>
                <w:color w:val="auto"/>
                <w:w w:val="94"/>
              </w:rPr>
              <w:t>(Commission File Number)</w:t>
            </w:r>
          </w:p>
        </w:tc>
        <w:tc>
          <w:tcPr>
            <w:tcW w:w="1700" w:type="dxa"/>
            <w:vAlign w:val="bottom"/>
          </w:tcPr>
          <w:p>
            <w:pPr>
              <w:jc w:val="center"/>
              <w:ind w:left="497"/>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2980" w:type="dxa"/>
            <w:vAlign w:val="bottom"/>
          </w:tcPr>
          <w:p>
            <w:pPr>
              <w:jc w:val="center"/>
              <w:ind w:right="35"/>
              <w:spacing w:after="0"/>
              <w:rPr>
                <w:sz w:val="20"/>
                <w:szCs w:val="20"/>
                <w:color w:val="auto"/>
              </w:rPr>
            </w:pPr>
            <w:r>
              <w:rPr>
                <w:rFonts w:ascii="Arial" w:cs="Arial" w:eastAsia="Arial" w:hAnsi="Arial"/>
                <w:sz w:val="14"/>
                <w:szCs w:val="14"/>
                <w:b w:val="1"/>
                <w:bCs w:val="1"/>
                <w:color w:val="auto"/>
                <w:w w:val="94"/>
              </w:rPr>
              <w:t>of Incorporation)</w:t>
            </w:r>
          </w:p>
        </w:tc>
        <w:tc>
          <w:tcPr>
            <w:tcW w:w="4780" w:type="dxa"/>
            <w:vAlign w:val="bottom"/>
            <w:vMerge w:val="continue"/>
          </w:tcPr>
          <w:p>
            <w:pPr>
              <w:spacing w:after="0"/>
              <w:rPr>
                <w:sz w:val="16"/>
                <w:szCs w:val="16"/>
                <w:color w:val="auto"/>
              </w:rPr>
            </w:pPr>
          </w:p>
        </w:tc>
        <w:tc>
          <w:tcPr>
            <w:tcW w:w="1700" w:type="dxa"/>
            <w:vAlign w:val="bottom"/>
          </w:tcPr>
          <w:p>
            <w:pPr>
              <w:jc w:val="center"/>
              <w:ind w:left="497"/>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408"/>
        </w:trPr>
        <w:tc>
          <w:tcPr>
            <w:tcW w:w="2980" w:type="dxa"/>
            <w:vAlign w:val="bottom"/>
          </w:tcPr>
          <w:p>
            <w:pPr>
              <w:jc w:val="center"/>
              <w:ind w:right="55"/>
              <w:spacing w:after="0"/>
              <w:rPr>
                <w:sz w:val="20"/>
                <w:szCs w:val="20"/>
                <w:color w:val="auto"/>
              </w:rPr>
            </w:pPr>
            <w:r>
              <w:rPr>
                <w:rFonts w:ascii="Arial" w:cs="Arial" w:eastAsia="Arial" w:hAnsi="Arial"/>
                <w:sz w:val="20"/>
                <w:szCs w:val="20"/>
                <w:b w:val="1"/>
                <w:bCs w:val="1"/>
                <w:color w:val="auto"/>
                <w:w w:val="90"/>
              </w:rPr>
              <w:t>55 Almaden Boulevard, 6th Floor</w:t>
            </w:r>
          </w:p>
        </w:tc>
        <w:tc>
          <w:tcPr>
            <w:tcW w:w="4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980" w:type="dxa"/>
            <w:vAlign w:val="bottom"/>
          </w:tcPr>
          <w:p>
            <w:pPr>
              <w:jc w:val="center"/>
              <w:ind w:right="35"/>
              <w:spacing w:after="0"/>
              <w:rPr>
                <w:sz w:val="20"/>
                <w:szCs w:val="20"/>
                <w:color w:val="auto"/>
              </w:rPr>
            </w:pPr>
            <w:r>
              <w:rPr>
                <w:rFonts w:ascii="Arial" w:cs="Arial" w:eastAsia="Arial" w:hAnsi="Arial"/>
                <w:sz w:val="20"/>
                <w:szCs w:val="20"/>
                <w:b w:val="1"/>
                <w:bCs w:val="1"/>
                <w:color w:val="auto"/>
                <w:w w:val="88"/>
              </w:rPr>
              <w:t>San Jose, California</w:t>
            </w:r>
          </w:p>
        </w:tc>
        <w:tc>
          <w:tcPr>
            <w:tcW w:w="4780" w:type="dxa"/>
            <w:vAlign w:val="bottom"/>
          </w:tcPr>
          <w:p>
            <w:pPr>
              <w:spacing w:after="0"/>
              <w:rPr>
                <w:sz w:val="22"/>
                <w:szCs w:val="22"/>
                <w:color w:val="auto"/>
              </w:rPr>
            </w:pPr>
          </w:p>
        </w:tc>
        <w:tc>
          <w:tcPr>
            <w:tcW w:w="1700" w:type="dxa"/>
            <w:vAlign w:val="bottom"/>
          </w:tcPr>
          <w:p>
            <w:pPr>
              <w:jc w:val="right"/>
              <w:ind w:right="237"/>
              <w:spacing w:after="0"/>
              <w:rPr>
                <w:sz w:val="20"/>
                <w:szCs w:val="20"/>
                <w:color w:val="auto"/>
              </w:rPr>
            </w:pPr>
            <w:r>
              <w:rPr>
                <w:rFonts w:ascii="Arial" w:cs="Arial" w:eastAsia="Arial" w:hAnsi="Arial"/>
                <w:sz w:val="20"/>
                <w:szCs w:val="20"/>
                <w:b w:val="1"/>
                <w:bCs w:val="1"/>
                <w:color w:val="auto"/>
              </w:rPr>
              <w:t>95113</w:t>
            </w:r>
          </w:p>
        </w:tc>
        <w:tc>
          <w:tcPr>
            <w:tcW w:w="0" w:type="dxa"/>
            <w:vAlign w:val="bottom"/>
          </w:tcPr>
          <w:p>
            <w:pPr>
              <w:spacing w:after="0"/>
              <w:rPr>
                <w:sz w:val="1"/>
                <w:szCs w:val="1"/>
                <w:color w:val="auto"/>
              </w:rPr>
            </w:pPr>
          </w:p>
        </w:tc>
      </w:tr>
      <w:tr>
        <w:trPr>
          <w:trHeight w:val="213"/>
        </w:trPr>
        <w:tc>
          <w:tcPr>
            <w:tcW w:w="2980" w:type="dxa"/>
            <w:vAlign w:val="bottom"/>
          </w:tcPr>
          <w:p>
            <w:pPr>
              <w:jc w:val="center"/>
              <w:ind w:right="35"/>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4780" w:type="dxa"/>
            <w:vAlign w:val="bottom"/>
          </w:tcPr>
          <w:p>
            <w:pPr>
              <w:spacing w:after="0"/>
              <w:rPr>
                <w:sz w:val="18"/>
                <w:szCs w:val="18"/>
                <w:color w:val="auto"/>
              </w:rPr>
            </w:pPr>
          </w:p>
        </w:tc>
        <w:tc>
          <w:tcPr>
            <w:tcW w:w="1700" w:type="dxa"/>
            <w:vAlign w:val="bottom"/>
          </w:tcPr>
          <w:p>
            <w:pPr>
              <w:jc w:val="center"/>
              <w:ind w:left="497"/>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327"/>
        </w:trPr>
        <w:tc>
          <w:tcPr>
            <w:tcW w:w="2980" w:type="dxa"/>
            <w:vAlign w:val="bottom"/>
          </w:tcPr>
          <w:p>
            <w:pPr>
              <w:spacing w:after="0"/>
              <w:rPr>
                <w:sz w:val="24"/>
                <w:szCs w:val="24"/>
                <w:color w:val="auto"/>
              </w:rPr>
            </w:pPr>
          </w:p>
        </w:tc>
        <w:tc>
          <w:tcPr>
            <w:tcW w:w="4780" w:type="dxa"/>
            <w:vAlign w:val="bottom"/>
          </w:tcPr>
          <w:p>
            <w:pPr>
              <w:jc w:val="center"/>
              <w:ind w:right="335"/>
              <w:spacing w:after="0"/>
              <w:rPr>
                <w:sz w:val="20"/>
                <w:szCs w:val="20"/>
                <w:color w:val="auto"/>
              </w:rPr>
            </w:pPr>
            <w:r>
              <w:rPr>
                <w:rFonts w:ascii="Arial" w:cs="Arial" w:eastAsia="Arial" w:hAnsi="Arial"/>
                <w:sz w:val="20"/>
                <w:szCs w:val="20"/>
                <w:b w:val="1"/>
                <w:bCs w:val="1"/>
                <w:color w:val="auto"/>
                <w:w w:val="90"/>
              </w:rPr>
              <w:t>(888) 799-9666</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980" w:type="dxa"/>
            <w:vAlign w:val="bottom"/>
          </w:tcPr>
          <w:p>
            <w:pPr>
              <w:spacing w:after="0"/>
              <w:rPr>
                <w:sz w:val="16"/>
                <w:szCs w:val="16"/>
                <w:color w:val="auto"/>
              </w:rPr>
            </w:pPr>
          </w:p>
        </w:tc>
        <w:tc>
          <w:tcPr>
            <w:tcW w:w="4780" w:type="dxa"/>
            <w:vAlign w:val="bottom"/>
          </w:tcPr>
          <w:p>
            <w:pPr>
              <w:jc w:val="center"/>
              <w:ind w:right="335"/>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2980" w:type="dxa"/>
            <w:vAlign w:val="bottom"/>
          </w:tcPr>
          <w:p>
            <w:pPr>
              <w:spacing w:after="0"/>
              <w:rPr>
                <w:sz w:val="24"/>
                <w:szCs w:val="24"/>
                <w:color w:val="auto"/>
              </w:rPr>
            </w:pPr>
          </w:p>
        </w:tc>
        <w:tc>
          <w:tcPr>
            <w:tcW w:w="4780" w:type="dxa"/>
            <w:vAlign w:val="bottom"/>
          </w:tcPr>
          <w:p>
            <w:pPr>
              <w:jc w:val="center"/>
              <w:ind w:right="335"/>
              <w:spacing w:after="0"/>
              <w:rPr>
                <w:sz w:val="20"/>
                <w:szCs w:val="20"/>
                <w:color w:val="auto"/>
              </w:rPr>
            </w:pPr>
            <w:r>
              <w:rPr>
                <w:rFonts w:ascii="Arial" w:cs="Arial" w:eastAsia="Arial" w:hAnsi="Arial"/>
                <w:sz w:val="20"/>
                <w:szCs w:val="20"/>
                <w:b w:val="1"/>
                <w:bCs w:val="1"/>
                <w:color w:val="auto"/>
                <w:w w:val="91"/>
              </w:rPr>
              <w:t>Not Applicable</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980" w:type="dxa"/>
            <w:vAlign w:val="bottom"/>
          </w:tcPr>
          <w:p>
            <w:pPr>
              <w:spacing w:after="0"/>
              <w:rPr>
                <w:sz w:val="16"/>
                <w:szCs w:val="16"/>
                <w:color w:val="auto"/>
              </w:rPr>
            </w:pPr>
          </w:p>
        </w:tc>
        <w:tc>
          <w:tcPr>
            <w:tcW w:w="4780" w:type="dxa"/>
            <w:vAlign w:val="bottom"/>
          </w:tcPr>
          <w:p>
            <w:pPr>
              <w:jc w:val="center"/>
              <w:ind w:right="315"/>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4280"/>
        <w:spacing w:after="0"/>
        <w:rPr>
          <w:sz w:val="20"/>
          <w:szCs w:val="20"/>
          <w:color w:val="auto"/>
        </w:rPr>
      </w:pPr>
      <w:r>
        <w:rPr>
          <w:rFonts w:ascii="Arial" w:cs="Arial" w:eastAsia="Arial" w:hAnsi="Arial"/>
          <w:sz w:val="22"/>
          <w:szCs w:val="22"/>
          <w:b w:val="1"/>
          <w:bCs w:val="1"/>
          <w:color w:val="auto"/>
        </w:rPr>
        <w:t>_________________________</w:t>
      </w:r>
    </w:p>
    <w:p>
      <w:pPr>
        <w:spacing w:after="0" w:line="96" w:lineRule="exact"/>
        <w:rPr>
          <w:sz w:val="24"/>
          <w:szCs w:val="24"/>
          <w:color w:val="auto"/>
        </w:rPr>
      </w:pPr>
    </w:p>
    <w:p>
      <w:pPr>
        <w:ind w:right="660"/>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34"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37"/>
        </w:trPr>
        <w:tc>
          <w:tcPr>
            <w:tcW w:w="44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2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4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3"/>
        </w:trPr>
        <w:tc>
          <w:tcPr>
            <w:tcW w:w="4460" w:type="dxa"/>
            <w:vAlign w:val="bottom"/>
            <w:tcBorders>
              <w:left w:val="single" w:sz="8" w:color="auto"/>
              <w:bottom w:val="single" w:sz="8" w:color="auto"/>
              <w:right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17"/>
        </w:trPr>
        <w:tc>
          <w:tcPr>
            <w:tcW w:w="44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Class A Common Stock, $0.001 par value per share</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ZM</w:t>
            </w:r>
          </w:p>
        </w:tc>
        <w:tc>
          <w:tcPr>
            <w:tcW w:w="44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The Nasdaq Global Select Market</w:t>
            </w:r>
          </w:p>
        </w:tc>
      </w:tr>
      <w:tr>
        <w:trPr>
          <w:trHeight w:val="33"/>
        </w:trPr>
        <w:tc>
          <w:tcPr>
            <w:tcW w:w="4460" w:type="dxa"/>
            <w:vAlign w:val="bottom"/>
            <w:tcBorders>
              <w:left w:val="single" w:sz="8" w:color="auto"/>
              <w:bottom w:val="single" w:sz="8" w:color="auto"/>
              <w:right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bl>
    <w:p>
      <w:pPr>
        <w:spacing w:after="0" w:line="94"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151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On August 31, 2020, Zoom Video Communications, Inc. (the “Company”) issued a press release announcing its financial results for the three months ended July 31, 2020. A copy of the press release is furnished as Exhibit 99.1 to this report and is incorporated by reference.</w:t>
      </w:r>
    </w:p>
    <w:p>
      <w:pPr>
        <w:spacing w:after="0" w:line="146" w:lineRule="exact"/>
        <w:rPr>
          <w:sz w:val="20"/>
          <w:szCs w:val="20"/>
          <w:color w:val="auto"/>
        </w:rPr>
      </w:pPr>
    </w:p>
    <w:p>
      <w:pPr>
        <w:ind w:right="460" w:firstLine="648"/>
        <w:spacing w:after="0" w:line="279" w:lineRule="auto"/>
        <w:rPr>
          <w:sz w:val="20"/>
          <w:szCs w:val="20"/>
          <w:color w:val="auto"/>
        </w:rPr>
      </w:pPr>
      <w:r>
        <w:rPr>
          <w:rFonts w:ascii="Arial" w:cs="Arial" w:eastAsia="Arial" w:hAnsi="Arial"/>
          <w:sz w:val="17"/>
          <w:szCs w:val="17"/>
          <w:color w:val="auto"/>
        </w:rPr>
        <w:t>The information contained in this report, including Exhibit 99.1 attached hereto, is furnished and shall not be deemed “filed” for purposes of Section 18 of the Securities Exchange Act of 1934, as amended, or subject to the liabilities of that section. The information shall not be deemed incorporated by reference into any other filing with the Securities and Exchange Commission made by the Company regardless of any general incorporation language in such filing, except as shall be expressly set forth by specific reference in such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9380" w:type="dxa"/>
            <w:vAlign w:val="bottom"/>
          </w:tcPr>
          <w:p>
            <w:pPr>
              <w:spacing w:after="0"/>
              <w:rPr>
                <w:sz w:val="20"/>
                <w:szCs w:val="20"/>
                <w:color w:val="auto"/>
              </w:rPr>
            </w:pPr>
          </w:p>
        </w:tc>
      </w:tr>
      <w:tr>
        <w:trPr>
          <w:trHeight w:val="270"/>
        </w:trPr>
        <w:tc>
          <w:tcPr>
            <w:tcW w:w="1840" w:type="dxa"/>
            <w:vAlign w:val="bottom"/>
            <w:gridSpan w:val="2"/>
          </w:tcPr>
          <w:p>
            <w:pPr>
              <w:jc w:val="center"/>
              <w:ind w:right="460"/>
              <w:spacing w:after="0"/>
              <w:rPr>
                <w:sz w:val="20"/>
                <w:szCs w:val="20"/>
                <w:color w:val="auto"/>
              </w:rPr>
            </w:pPr>
            <w:r>
              <w:rPr>
                <w:rFonts w:ascii="Arial" w:cs="Arial" w:eastAsia="Arial" w:hAnsi="Arial"/>
                <w:sz w:val="18"/>
                <w:szCs w:val="18"/>
                <w:color w:val="auto"/>
                <w:w w:val="94"/>
              </w:rPr>
              <w:t>Exhibit No.</w:t>
            </w:r>
          </w:p>
        </w:tc>
        <w:tc>
          <w:tcPr>
            <w:tcW w:w="9380" w:type="dxa"/>
            <w:vAlign w:val="bottom"/>
          </w:tcPr>
          <w:p>
            <w:pPr>
              <w:spacing w:after="0"/>
              <w:rPr>
                <w:sz w:val="20"/>
                <w:szCs w:val="20"/>
                <w:color w:val="auto"/>
              </w:rPr>
            </w:pPr>
            <w:r>
              <w:rPr>
                <w:rFonts w:ascii="Arial" w:cs="Arial" w:eastAsia="Arial" w:hAnsi="Arial"/>
                <w:sz w:val="18"/>
                <w:szCs w:val="18"/>
                <w:color w:val="auto"/>
              </w:rPr>
              <w:t>Description</w:t>
            </w:r>
          </w:p>
        </w:tc>
      </w:tr>
      <w:tr>
        <w:trPr>
          <w:trHeight w:val="27"/>
        </w:trPr>
        <w:tc>
          <w:tcPr>
            <w:tcW w:w="1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9380" w:type="dxa"/>
            <w:vAlign w:val="bottom"/>
            <w:tcBorders>
              <w:bottom w:val="single" w:sz="8" w:color="auto"/>
            </w:tcBorders>
          </w:tcPr>
          <w:p>
            <w:pPr>
              <w:spacing w:after="0"/>
              <w:rPr>
                <w:sz w:val="2"/>
                <w:szCs w:val="2"/>
                <w:color w:val="auto"/>
              </w:rPr>
            </w:pPr>
          </w:p>
        </w:tc>
      </w:tr>
      <w:tr>
        <w:trPr>
          <w:trHeight w:val="263"/>
        </w:trPr>
        <w:tc>
          <w:tcPr>
            <w:tcW w:w="1380" w:type="dxa"/>
            <w:vAlign w:val="bottom"/>
          </w:tcPr>
          <w:p>
            <w:pPr>
              <w:jc w:val="right"/>
              <w:ind w:right="450"/>
              <w:spacing w:after="0"/>
              <w:rPr>
                <w:sz w:val="20"/>
                <w:szCs w:val="20"/>
                <w:color w:val="auto"/>
              </w:rPr>
            </w:pPr>
            <w:r>
              <w:rPr>
                <w:rFonts w:ascii="Arial" w:cs="Arial" w:eastAsia="Arial" w:hAnsi="Arial"/>
                <w:sz w:val="18"/>
                <w:szCs w:val="18"/>
                <w:color w:val="auto"/>
              </w:rPr>
              <w:t>99.1</w:t>
            </w:r>
          </w:p>
        </w:tc>
        <w:tc>
          <w:tcPr>
            <w:tcW w:w="460" w:type="dxa"/>
            <w:vAlign w:val="bottom"/>
          </w:tcPr>
          <w:p>
            <w:pPr>
              <w:spacing w:after="0"/>
              <w:rPr>
                <w:sz w:val="22"/>
                <w:szCs w:val="22"/>
                <w:color w:val="auto"/>
              </w:rPr>
            </w:pPr>
          </w:p>
        </w:tc>
        <w:tc>
          <w:tcPr>
            <w:tcW w:w="9380" w:type="dxa"/>
            <w:vAlign w:val="bottom"/>
          </w:tcPr>
          <w:p>
            <w:pPr>
              <w:spacing w:after="0"/>
              <w:rPr>
                <w:rFonts w:ascii="Arial" w:cs="Arial" w:eastAsia="Arial" w:hAnsi="Arial"/>
                <w:sz w:val="18"/>
                <w:szCs w:val="18"/>
                <w:color w:val="0000FF"/>
              </w:rPr>
            </w:pPr>
            <w:hyperlink w:anchor="page4">
              <w:r>
                <w:rPr>
                  <w:rFonts w:ascii="Arial" w:cs="Arial" w:eastAsia="Arial" w:hAnsi="Arial"/>
                  <w:sz w:val="18"/>
                  <w:szCs w:val="18"/>
                  <w:u w:val="single" w:color="auto"/>
                  <w:color w:val="0000FF"/>
                </w:rPr>
                <w:t>Press release dated August</w:t>
              </w:r>
              <w:r>
                <w:rPr>
                  <w:rFonts w:ascii="Arial" w:cs="Arial" w:eastAsia="Arial" w:hAnsi="Arial"/>
                  <w:sz w:val="18"/>
                  <w:szCs w:val="18"/>
                  <w:color w:val="0000FF"/>
                </w:rPr>
                <w:t xml:space="preserve"> 31, </w:t>
              </w:r>
              <w:r>
                <w:rPr>
                  <w:rFonts w:ascii="Arial" w:cs="Arial" w:eastAsia="Arial" w:hAnsi="Arial"/>
                  <w:sz w:val="18"/>
                  <w:szCs w:val="18"/>
                  <w:u w:val="single" w:color="auto"/>
                  <w:color w:val="0000FF"/>
                </w:rPr>
                <w:t>2020 of Zoom Video Communications, Inc.</w:t>
              </w:r>
            </w:hyperlink>
          </w:p>
        </w:tc>
      </w:tr>
    </w:tbl>
    <w:p>
      <w:pPr>
        <w:sectPr>
          <w:pgSz w:w="11900" w:h="16838" w:orient="portrait"/>
          <w:cols w:equalWidth="0" w:num="1">
            <w:col w:w="11220"/>
          </w:cols>
          <w:pgMar w:left="320" w:top="1107" w:right="3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6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Zoom Video Communications, Inc.</w:t>
      </w:r>
    </w:p>
    <w:p>
      <w:pPr>
        <w:spacing w:after="0" w:line="324" w:lineRule="exact"/>
        <w:rPr>
          <w:sz w:val="20"/>
          <w:szCs w:val="20"/>
          <w:color w:val="auto"/>
        </w:rPr>
      </w:pPr>
    </w:p>
    <w:p>
      <w:pPr>
        <w:ind w:left="20"/>
        <w:spacing w:after="0"/>
        <w:tabs>
          <w:tab w:leader="none" w:pos="5240" w:val="left"/>
          <w:tab w:leader="none" w:pos="5960" w:val="left"/>
        </w:tabs>
        <w:rPr>
          <w:sz w:val="20"/>
          <w:szCs w:val="20"/>
          <w:color w:val="auto"/>
        </w:rPr>
      </w:pPr>
      <w:r>
        <w:rPr>
          <w:rFonts w:ascii="Arial" w:cs="Arial" w:eastAsia="Arial" w:hAnsi="Arial"/>
          <w:sz w:val="18"/>
          <w:szCs w:val="18"/>
          <w:color w:val="auto"/>
        </w:rPr>
        <w:t>Dated: August 31,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Kelly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31750</wp:posOffset>
            </wp:positionV>
            <wp:extent cx="33350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3502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Kelly Steckelberg</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0940"/>
          </w:cols>
          <w:pgMar w:left="320" w:top="891" w:right="6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Zoom Reports Second Quarter Results for Fiscal Year 2021</w:t>
      </w:r>
    </w:p>
    <w:p>
      <w:pPr>
        <w:spacing w:after="0" w:line="121" w:lineRule="exact"/>
        <w:rPr>
          <w:sz w:val="20"/>
          <w:szCs w:val="20"/>
          <w:color w:val="auto"/>
        </w:rPr>
      </w:pPr>
    </w:p>
    <w:p>
      <w:pPr>
        <w:ind w:left="1020" w:hanging="364"/>
        <w:spacing w:after="0"/>
        <w:tabs>
          <w:tab w:leader="none" w:pos="10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Second quarter total revenue of $663.5 million, up 355% year-over-year</w:t>
      </w:r>
    </w:p>
    <w:p>
      <w:pPr>
        <w:spacing w:after="0" w:line="117" w:lineRule="exact"/>
        <w:rPr>
          <w:rFonts w:ascii="Arial" w:cs="Arial" w:eastAsia="Arial" w:hAnsi="Arial"/>
          <w:sz w:val="18"/>
          <w:szCs w:val="18"/>
          <w:b w:val="1"/>
          <w:bCs w:val="1"/>
          <w:color w:val="auto"/>
        </w:rPr>
      </w:pPr>
    </w:p>
    <w:p>
      <w:pPr>
        <w:ind w:left="1020" w:hanging="364"/>
        <w:spacing w:after="0"/>
        <w:tabs>
          <w:tab w:leader="none" w:pos="102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Number of customers contributing more than $100,000 in TTM revenue up 112% year-over-year</w:t>
      </w:r>
    </w:p>
    <w:p>
      <w:pPr>
        <w:spacing w:after="0" w:line="117" w:lineRule="exact"/>
        <w:rPr>
          <w:rFonts w:ascii="Arial" w:cs="Arial" w:eastAsia="Arial" w:hAnsi="Arial"/>
          <w:sz w:val="18"/>
          <w:szCs w:val="18"/>
          <w:b w:val="1"/>
          <w:bCs w:val="1"/>
          <w:i w:val="1"/>
          <w:iCs w:val="1"/>
          <w:color w:val="auto"/>
        </w:rPr>
      </w:pPr>
    </w:p>
    <w:p>
      <w:pPr>
        <w:ind w:left="1020" w:hanging="364"/>
        <w:spacing w:after="0"/>
        <w:tabs>
          <w:tab w:leader="none" w:pos="102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Approximately 370,200 customers with more than 10 employees, up 458% year-over-year</w:t>
      </w:r>
    </w:p>
    <w:p>
      <w:pPr>
        <w:spacing w:after="0" w:line="221" w:lineRule="exact"/>
        <w:rPr>
          <w:sz w:val="20"/>
          <w:szCs w:val="20"/>
          <w:color w:val="auto"/>
        </w:rPr>
      </w:pPr>
    </w:p>
    <w:p>
      <w:pPr>
        <w:ind w:right="1180"/>
        <w:spacing w:after="0" w:line="282" w:lineRule="auto"/>
        <w:rPr>
          <w:sz w:val="20"/>
          <w:szCs w:val="20"/>
          <w:color w:val="auto"/>
        </w:rPr>
      </w:pPr>
      <w:r>
        <w:rPr>
          <w:rFonts w:ascii="Arial" w:cs="Arial" w:eastAsia="Arial" w:hAnsi="Arial"/>
          <w:sz w:val="18"/>
          <w:szCs w:val="18"/>
          <w:b w:val="1"/>
          <w:bCs w:val="1"/>
          <w:color w:val="auto"/>
        </w:rPr>
        <w:t xml:space="preserve">SAN JOSE, California – </w:t>
      </w:r>
      <w:r>
        <w:rPr>
          <w:rFonts w:ascii="Arial" w:cs="Arial" w:eastAsia="Arial" w:hAnsi="Arial"/>
          <w:sz w:val="18"/>
          <w:szCs w:val="18"/>
          <w:color w:val="auto"/>
        </w:rPr>
        <w:t>August 31, 2020 – Zoom Video Communications, Inc. (NASDAQ: ZM), a leading provider of video-first unified</w:t>
      </w:r>
      <w:r>
        <w:rPr>
          <w:rFonts w:ascii="Arial" w:cs="Arial" w:eastAsia="Arial" w:hAnsi="Arial"/>
          <w:sz w:val="18"/>
          <w:szCs w:val="18"/>
          <w:b w:val="1"/>
          <w:bCs w:val="1"/>
          <w:color w:val="auto"/>
        </w:rPr>
        <w:t xml:space="preserve"> </w:t>
      </w:r>
      <w:r>
        <w:rPr>
          <w:rFonts w:ascii="Arial" w:cs="Arial" w:eastAsia="Arial" w:hAnsi="Arial"/>
          <w:sz w:val="18"/>
          <w:szCs w:val="18"/>
          <w:color w:val="auto"/>
        </w:rPr>
        <w:t>communications, today announced financial results for the quarter ended July 31, 2020.</w:t>
      </w:r>
    </w:p>
    <w:p>
      <w:pPr>
        <w:spacing w:after="0" w:line="166"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“Organizations are shifting from addressing their immediate business continuity needs to supporting a future of working anywhere, learning anywhere, and connecting anywhere on Zoom's video-first platform. At Zoom, we strive to deliver a world-class, frictionless, and secure communication experience for our customers across locations, devices, and use cases,” said Zoom founder and CEO, Eric S. Yuan. “Our ability to keep people around the world connected, coupled with our strong execution, led to revenue growth of 355% year-over-year in Q2 and enabled us to increase our revenue outlook to approximately $2.37 billion to $2.39 billion for FY21, or 281% to 284% increase year-over-year.”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Fiscal Year 2021 Financial Highlights:</w:t>
      </w:r>
    </w:p>
    <w:p>
      <w:pPr>
        <w:spacing w:after="0" w:line="225"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Total revenue for the quarter was $663.5 million, up 355% year-over-year.</w:t>
      </w:r>
    </w:p>
    <w:p>
      <w:pPr>
        <w:spacing w:after="0" w:line="117" w:lineRule="exact"/>
        <w:rPr>
          <w:rFonts w:ascii="Arial" w:cs="Arial" w:eastAsia="Arial" w:hAnsi="Arial"/>
          <w:sz w:val="18"/>
          <w:szCs w:val="18"/>
          <w:b w:val="1"/>
          <w:bCs w:val="1"/>
          <w:color w:val="auto"/>
        </w:rPr>
      </w:pPr>
    </w:p>
    <w:p>
      <w:pPr>
        <w:ind w:left="980" w:right="140" w:hanging="324"/>
        <w:spacing w:after="0" w:line="258"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Income from Operations and Operating Margin: </w:t>
      </w:r>
      <w:r>
        <w:rPr>
          <w:rFonts w:ascii="Arial" w:cs="Arial" w:eastAsia="Arial" w:hAnsi="Arial"/>
          <w:sz w:val="18"/>
          <w:szCs w:val="18"/>
          <w:color w:val="auto"/>
        </w:rPr>
        <w:t>GAAP income from operations for the quarter was $188.1 million, compared to $2.3</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 the second quarter of fiscal year 2020. After adjusting for stock-based compensation expense and related payroll taxes, expenses related to charitable donation of common stock, and acquisition-related expenses, non-GAAP income from operations for the second quarter was $277.0 million, up from $20.7 million in the second quarter of fiscal year 2020. For the second quarter, GAAP operating margin was 28.3% and non-GAAP operating margin was 41.7%.</w:t>
      </w:r>
    </w:p>
    <w:p>
      <w:pPr>
        <w:spacing w:after="0" w:line="183" w:lineRule="exact"/>
        <w:rPr>
          <w:rFonts w:ascii="Arial" w:cs="Arial" w:eastAsia="Arial" w:hAnsi="Arial"/>
          <w:sz w:val="18"/>
          <w:szCs w:val="18"/>
          <w:color w:val="auto"/>
        </w:rPr>
      </w:pPr>
    </w:p>
    <w:p>
      <w:pPr>
        <w:ind w:left="980" w:right="60" w:hanging="324"/>
        <w:spacing w:after="0" w:line="266" w:lineRule="auto"/>
        <w:tabs>
          <w:tab w:leader="none" w:pos="97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Net Income and Net Income Per Share: </w:t>
      </w:r>
      <w:r>
        <w:rPr>
          <w:rFonts w:ascii="Arial" w:cs="Arial" w:eastAsia="Arial" w:hAnsi="Arial"/>
          <w:sz w:val="18"/>
          <w:szCs w:val="18"/>
          <w:color w:val="auto"/>
        </w:rPr>
        <w:t>GAAP net income attributable to common stockholders for the quarter was $185.7 million, or</w:t>
      </w:r>
      <w:r>
        <w:rPr>
          <w:rFonts w:ascii="Arial" w:cs="Arial" w:eastAsia="Arial" w:hAnsi="Arial"/>
          <w:sz w:val="18"/>
          <w:szCs w:val="18"/>
          <w:b w:val="1"/>
          <w:bCs w:val="1"/>
          <w:color w:val="auto"/>
        </w:rPr>
        <w:t xml:space="preserve"> </w:t>
      </w:r>
      <w:r>
        <w:rPr>
          <w:rFonts w:ascii="Arial" w:cs="Arial" w:eastAsia="Arial" w:hAnsi="Arial"/>
          <w:sz w:val="18"/>
          <w:szCs w:val="18"/>
          <w:color w:val="auto"/>
        </w:rPr>
        <w:t>$0.63 per share, compared to GAAP net income attributable to common stockholders of $5.5 million, or $0.02 per share in the second quarter of fiscal year 2020.</w:t>
      </w:r>
    </w:p>
    <w:p>
      <w:pPr>
        <w:spacing w:after="0" w:line="71" w:lineRule="exact"/>
        <w:rPr>
          <w:rFonts w:ascii="Arial" w:cs="Arial" w:eastAsia="Arial" w:hAnsi="Arial"/>
          <w:sz w:val="18"/>
          <w:szCs w:val="18"/>
          <w:b w:val="1"/>
          <w:bCs w:val="1"/>
          <w:color w:val="auto"/>
        </w:rPr>
      </w:pPr>
    </w:p>
    <w:p>
      <w:pPr>
        <w:ind w:left="98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Non-GAAP net income for the quarter was $274.8 million, after adjusting for stock-based compensation expense and related payroll taxes, expenses related to charitable donation of common stock, acquisition-related expenses, and undistributed earnings attributable to participating securities. Non-GAAP net income per share was $0.92. In the second quarter of fiscal year 2020, non-GAAP net income was $24.0 million, or $0.08 per share.</w:t>
      </w:r>
    </w:p>
    <w:p>
      <w:pPr>
        <w:spacing w:after="0" w:line="182" w:lineRule="exact"/>
        <w:rPr>
          <w:rFonts w:ascii="Arial" w:cs="Arial" w:eastAsia="Arial" w:hAnsi="Arial"/>
          <w:sz w:val="18"/>
          <w:szCs w:val="18"/>
          <w:b w:val="1"/>
          <w:bCs w:val="1"/>
          <w:color w:val="auto"/>
        </w:rPr>
      </w:pPr>
    </w:p>
    <w:p>
      <w:pPr>
        <w:ind w:left="980" w:hanging="324"/>
        <w:spacing w:after="0"/>
        <w:tabs>
          <w:tab w:leader="none" w:pos="9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Cash: </w:t>
      </w:r>
      <w:r>
        <w:rPr>
          <w:rFonts w:ascii="Arial" w:cs="Arial" w:eastAsia="Arial" w:hAnsi="Arial"/>
          <w:sz w:val="18"/>
          <w:szCs w:val="18"/>
          <w:color w:val="auto"/>
        </w:rPr>
        <w:t>Total cash, cash equivalents, and marketable securities as of July 31, 2020 was $1.5 billion.</w:t>
      </w:r>
    </w:p>
    <w:p>
      <w:pPr>
        <w:spacing w:after="0" w:line="117" w:lineRule="exact"/>
        <w:rPr>
          <w:rFonts w:ascii="Arial" w:cs="Arial" w:eastAsia="Arial" w:hAnsi="Arial"/>
          <w:sz w:val="18"/>
          <w:szCs w:val="18"/>
          <w:b w:val="1"/>
          <w:bCs w:val="1"/>
          <w:color w:val="auto"/>
        </w:rPr>
      </w:pPr>
    </w:p>
    <w:p>
      <w:pPr>
        <w:ind w:left="980" w:right="160" w:hanging="324"/>
        <w:spacing w:after="0" w:line="312" w:lineRule="auto"/>
        <w:tabs>
          <w:tab w:leader="none" w:pos="975"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Cash Flow: </w:t>
      </w:r>
      <w:r>
        <w:rPr>
          <w:rFonts w:ascii="Arial" w:cs="Arial" w:eastAsia="Arial" w:hAnsi="Arial"/>
          <w:sz w:val="17"/>
          <w:szCs w:val="17"/>
          <w:color w:val="auto"/>
        </w:rPr>
        <w:t>Net cash provided by operating activities was $401.3 million for the quarter, compared to $31.2 million in the second quarter of</w:t>
      </w:r>
      <w:r>
        <w:rPr>
          <w:rFonts w:ascii="Arial" w:cs="Arial" w:eastAsia="Arial" w:hAnsi="Arial"/>
          <w:sz w:val="17"/>
          <w:szCs w:val="17"/>
          <w:b w:val="1"/>
          <w:bCs w:val="1"/>
          <w:color w:val="auto"/>
        </w:rPr>
        <w:t xml:space="preserve"> </w:t>
      </w:r>
      <w:r>
        <w:rPr>
          <w:rFonts w:ascii="Arial" w:cs="Arial" w:eastAsia="Arial" w:hAnsi="Arial"/>
          <w:sz w:val="17"/>
          <w:szCs w:val="17"/>
          <w:color w:val="auto"/>
        </w:rPr>
        <w:t>fiscal year 2020. Free cash flow was $373.4 million, compared to $17.1 million in the second quarter of fiscal year 2020.</w:t>
      </w:r>
    </w:p>
    <w:p>
      <w:pPr>
        <w:spacing w:after="0" w:line="140"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Customer Metrics: </w:t>
      </w:r>
      <w:r>
        <w:rPr>
          <w:rFonts w:ascii="Arial" w:cs="Arial" w:eastAsia="Arial" w:hAnsi="Arial"/>
          <w:sz w:val="18"/>
          <w:szCs w:val="18"/>
          <w:color w:val="auto"/>
        </w:rPr>
        <w:t>Drivers of total revenue include acquiring new customers and expanding across existing customers. At the end of the second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fiscal year 2021, Zoom had:</w:t>
      </w:r>
    </w:p>
    <w:p>
      <w:pPr>
        <w:spacing w:after="0" w:line="58" w:lineRule="exact"/>
        <w:rPr>
          <w:sz w:val="20"/>
          <w:szCs w:val="20"/>
          <w:color w:val="auto"/>
        </w:rPr>
      </w:pPr>
    </w:p>
    <w:p>
      <w:pPr>
        <w:ind w:left="1020" w:hanging="364"/>
        <w:spacing w:after="0"/>
        <w:tabs>
          <w:tab w:leader="none" w:pos="10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Approximately 370,200 customers with more than 10 employees, up approximately 458% from the same quarter last fiscal year.</w:t>
      </w:r>
    </w:p>
    <w:p>
      <w:pPr>
        <w:spacing w:after="0" w:line="117" w:lineRule="exact"/>
        <w:rPr>
          <w:rFonts w:ascii="Arial" w:cs="Arial" w:eastAsia="Arial" w:hAnsi="Arial"/>
          <w:sz w:val="18"/>
          <w:szCs w:val="18"/>
          <w:b w:val="1"/>
          <w:bCs w:val="1"/>
          <w:color w:val="auto"/>
        </w:rPr>
      </w:pPr>
    </w:p>
    <w:p>
      <w:pPr>
        <w:ind w:left="1020" w:hanging="364"/>
        <w:spacing w:after="0"/>
        <w:tabs>
          <w:tab w:leader="none" w:pos="102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988 customers contributing more than $100,000 in trailing 12 months revenue, up approximately 112% from the same quarter last fiscal year.</w:t>
      </w:r>
    </w:p>
    <w:p>
      <w:pPr>
        <w:spacing w:after="0" w:line="140" w:lineRule="exact"/>
        <w:rPr>
          <w:rFonts w:ascii="Arial" w:cs="Arial" w:eastAsia="Arial" w:hAnsi="Arial"/>
          <w:sz w:val="16"/>
          <w:szCs w:val="16"/>
          <w:b w:val="1"/>
          <w:bCs w:val="1"/>
          <w:color w:val="auto"/>
        </w:rPr>
      </w:pPr>
    </w:p>
    <w:p>
      <w:pPr>
        <w:ind w:left="1020" w:hanging="364"/>
        <w:spacing w:after="0"/>
        <w:tabs>
          <w:tab w:leader="none" w:pos="102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A trailing 12-month net dollar expansion rate in customers with more than 10 employees above 130% for the 9th consecutive quarter.</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Outlook: </w:t>
      </w:r>
      <w:r>
        <w:rPr>
          <w:rFonts w:ascii="Arial" w:cs="Arial" w:eastAsia="Arial" w:hAnsi="Arial"/>
          <w:sz w:val="18"/>
          <w:szCs w:val="18"/>
          <w:color w:val="auto"/>
        </w:rPr>
        <w:t>Zoom is providing the following guidance for its third quarter fiscal year 2021 and its full fiscal year 2021.</w:t>
      </w:r>
    </w:p>
    <w:p>
      <w:pPr>
        <w:spacing w:after="0" w:line="121" w:lineRule="exact"/>
        <w:rPr>
          <w:sz w:val="20"/>
          <w:szCs w:val="20"/>
          <w:color w:val="auto"/>
        </w:rPr>
      </w:pPr>
    </w:p>
    <w:p>
      <w:pPr>
        <w:ind w:left="980" w:right="400" w:hanging="324"/>
        <w:spacing w:after="0" w:line="277" w:lineRule="auto"/>
        <w:tabs>
          <w:tab w:leader="none" w:pos="975"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Third Quarter Fiscal Year 2021: Total revenue is expected to be between $685.0 million and $690.0 million and non-GAAP income from operations is expected to be between $225.0 million and $230.0 million. Non-GAAP</w:t>
      </w:r>
    </w:p>
    <w:p>
      <w:pPr>
        <w:sectPr>
          <w:pgSz w:w="11900" w:h="16838" w:orient="portrait"/>
          <w:cols w:equalWidth="0" w:num="1">
            <w:col w:w="11240"/>
          </w:cols>
          <w:pgMar w:left="320" w:top="1138" w:right="339" w:bottom="1440" w:gutter="0" w:footer="0" w:header="0"/>
        </w:sectPr>
      </w:pPr>
    </w:p>
    <w:bookmarkStart w:id="4" w:name="page5"/>
    <w:bookmarkEnd w:id="4"/>
    <w:p>
      <w:pPr>
        <w:ind w:left="980"/>
        <w:spacing w:after="0"/>
        <w:rPr>
          <w:sz w:val="20"/>
          <w:szCs w:val="20"/>
          <w:color w:val="auto"/>
        </w:rPr>
      </w:pPr>
      <w:r>
        <w:rPr>
          <w:rFonts w:ascii="Arial" w:cs="Arial" w:eastAsia="Arial" w:hAnsi="Arial"/>
          <w:sz w:val="16"/>
          <w:szCs w:val="16"/>
          <w:color w:val="auto"/>
        </w:rPr>
        <w:t>diluted EPS is expected to be between $0.73 and $0.74 with approximately 300 million non-GAAP weighted average shares outstanding.</w:t>
      </w:r>
    </w:p>
    <w:p>
      <w:pPr>
        <w:spacing w:after="0" w:line="140" w:lineRule="exact"/>
        <w:rPr>
          <w:sz w:val="20"/>
          <w:szCs w:val="20"/>
          <w:color w:val="auto"/>
        </w:rPr>
      </w:pPr>
    </w:p>
    <w:p>
      <w:pPr>
        <w:ind w:left="980" w:right="80" w:hanging="324"/>
        <w:spacing w:after="0" w:line="275" w:lineRule="auto"/>
        <w:tabs>
          <w:tab w:leader="none" w:pos="975" w:val="left"/>
        </w:tabs>
        <w:numPr>
          <w:ilvl w:val="0"/>
          <w:numId w:val="6"/>
        </w:numPr>
        <w:rPr>
          <w:rFonts w:ascii="Arial" w:cs="Arial" w:eastAsia="Arial" w:hAnsi="Arial"/>
          <w:sz w:val="17"/>
          <w:szCs w:val="17"/>
          <w:color w:val="auto"/>
        </w:rPr>
      </w:pPr>
      <w:r>
        <w:rPr>
          <w:rFonts w:ascii="Arial" w:cs="Arial" w:eastAsia="Arial" w:hAnsi="Arial"/>
          <w:sz w:val="17"/>
          <w:szCs w:val="17"/>
          <w:color w:val="auto"/>
        </w:rPr>
        <w:t>Full Fiscal Year 2021: Total revenue is expected to be between $2.37 billion and $2.39 billion. This revenue outlook takes into consideration the demand for remote work solutions for businesses. It also assumed increased churn in the second half of the fiscal year when compared to historic churn levels due to a higher percentage of customers who purchased monthly subscriptions in the first quarter. Non-GAAP income from operations is expected to be between $730.0 million and $750.0 million. Non-GAAP diluted EPS is expected to be between $2.40 and $2.47 with approximately 300 million non-GAAP weighted average shares outstanding.</w:t>
      </w:r>
    </w:p>
    <w:p>
      <w:pPr>
        <w:spacing w:after="0" w:line="17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Additional information on Zoom's reported results, including a reconciliation of the non-GAAP results to their most comparable GAAP measures, is included in the financial tables below. A reconciliation of non-GAAP guidance measures to corresponding GAAP measures is not available on a forward-looking basis without unreasonable effort due to the uncertainty of expenses that may be incurred in the future.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A supplemental financial presentation and other information can be accessed through Zoom’s investor relations website at investors.zoom.us.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Zoom Video Earnings Call</w:t>
      </w:r>
    </w:p>
    <w:p>
      <w:pPr>
        <w:spacing w:after="0" w:line="121"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Zoom will host a Zoom Video Webinar for investors on August 31, 2020 at 2:30 p.m. Pacific Time / 5:30 p.m. Eastern Time to discuss the company’s financial results and business highlights. Investors are invited to join the Zoom Video Webinar by visiting: https://investors.zoom.us/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Zoom</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Zoom Video Communications, Inc. (NASDAQ: ZM) brings teams together to get more done in a frictionless and secure video environment. Our easy, reliable, and innovative video-first unified communications platform provides video meetings, voice, webinars, and chat across desktops, phones, mobile devices, and conference room systems. Zoom helps enterprises create elevated experiences with leading business app integrations and developer tools to create customized workflows. Founded in 2011, Zoom is headquartered in San Jose, California, with offices around the world. Visit zoom.com and follow @zoom_us.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This press release contains express and implied “forward-looking statements” within the meaning of the Private Securities Litigation Reform Act of 1995. In some cases, you can identify forward-looking statements by terms such as “anticipate,” “believe,” “estimate,” “expect,” “intend,” “may,” “might,” “plan,” “project,” “will,” “would,” “should,” “could,” “can,” “predict,” “potential,” “target,” “explore,” “continue,” or the negative of these terms, and similar expressions intended to identify forward-looking statements. However, not all forward-looking statements contain these identifying words. These statements may relate to our market size and trends, our growth strategy, and our financial outlook, including our guidance for the third quarter fiscal year 2021 and full fiscal year 2021. By their nature, these statements are subject to numerous uncertainties and risks, including factors beyond our control, that could cause actual results, performance or achievement to differ materially and adversely from those anticipated or implied in the statements. These assumptions, uncertainties and risks include that, among others, our business, financial results and prospects would be harmed by any decline in new customers and hosts, renewals or upgrades, our limited operating history makes it difficult to evaluate our prospects and future results of operations, we operate in competitive markets, we do not expect to sustain our revenue growth rate in the future, there is continued uncertainty regarding the extent and duration of the impact of COVID-19 and the responses of government and private industry thereto, as well as the impact of COVID-19 on the overall economic environment, any or all of which will have an impact on demand for remote work solutions for businesses as well as overall distributed, face-to-face interactions and collaboration using Zoom, our business would be harmed by any significant interruptions, delays or outages in services from our co-located data centers, and failures in internet infrastructure or interference with broadband access could cause current or potential users to believe that our systems are unreliable. Additional risks and uncertainties that could cause actual outcomes and results to differ materially from those contemplated by the forward-looking statements are included under the caption “Risk Factors” and elsewhere in our most recent filings with the Securities and Exchange Commission (the “SEC”), including our quarterly report on Form 10-Q for the quarter ended April 30, 2020. Forward-looking statements speak only as of the date the statements are made and are based on information available to Zoom at the time those statements are made and/or management's good faith belief as of that time with respect to future events. Zoom assumes no obligation to update forward-looking statements to reflect events or circumstances after the date they were made, except as required by law.</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Zoom has provided in this press release financial information that has not been prepared in accordance with generally accepted accounting principles in the United States (“GAAP”). Zoom uses these non-GAAP financial measures internally in analyzing</w:t>
      </w:r>
    </w:p>
    <w:p>
      <w:pPr>
        <w:sectPr>
          <w:pgSz w:w="11900" w:h="16838" w:orient="portrait"/>
          <w:cols w:equalWidth="0" w:num="1">
            <w:col w:w="11180"/>
          </w:cols>
          <w:pgMar w:left="320" w:top="1003" w:right="399" w:bottom="1440" w:gutter="0" w:footer="0" w:header="0"/>
        </w:sectPr>
      </w:pPr>
    </w:p>
    <w:bookmarkStart w:id="5" w:name="page6"/>
    <w:bookmarkEnd w:id="5"/>
    <w:p>
      <w:pPr>
        <w:ind w:right="240"/>
        <w:spacing w:after="0" w:line="263" w:lineRule="auto"/>
        <w:rPr>
          <w:sz w:val="20"/>
          <w:szCs w:val="20"/>
          <w:color w:val="auto"/>
        </w:rPr>
      </w:pPr>
      <w:r>
        <w:rPr>
          <w:rFonts w:ascii="Arial" w:cs="Arial" w:eastAsia="Arial" w:hAnsi="Arial"/>
          <w:sz w:val="18"/>
          <w:szCs w:val="18"/>
          <w:color w:val="auto"/>
        </w:rPr>
        <w:t>its financial results and believes that use of these non-GAAP financial measures is useful to investors as an additional tool to evaluate ongoing operating results and trends and in comparing Zoom’s financial results with other companies in its industry, many of which present similar non-GAAP financial measures.</w:t>
      </w:r>
    </w:p>
    <w:p>
      <w:pPr>
        <w:spacing w:after="0" w:line="7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Non-GAAP financial measures are not meant to be considered in isolation or as a substitute for comparable GAAP financial measures and should be read only in conjunction with Zoom’s condensed consolidated financial statements prepared in accordance with GAAP. A reconciliation of Zoom’s historical non-GAAP financial measures to the most directly comparable GAAP measures has been provided in the financial statement tables included in this press release, and investors are encouraged to review the reconciliation.</w:t>
      </w:r>
    </w:p>
    <w:p>
      <w:pPr>
        <w:spacing w:after="0" w:line="7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Non-GAAP Income From Operations and Non-GAAP Operating Margins. Zoom defines non-GAAP income from operations as income from operations excluding stock-based compensation expense and related payroll taxes, acquisition-related expenses, and expenses related to charitable donation of common stock. Zoom excludes stock-based compensation expense and expenses related to charitable donation of common stock because they are non-cash in nature and excluding these expenses provides meaningful supplemental information regarding Zoom’s operational performance and allows investors the ability to make more meaningful comparisons between Zoom’s operating results and those of other companies. Zoom excludes the amount of employer payroll taxes related to employee stock plans, which is a cash expense, because we believe that excluding this item provides meaningful supplemental information regarding operational performance. In particular, this expense is dependent on the price of our common stock and other factors that are beyond our control and do not correlate to the operation of the business. Zoom views acquisition-related expenses when applicable, such as amortization of acquired intangible assets, transaction costs, and acquisition-related retention payments that are directly related to business combinations as events that are not necessarily reflective of operational performance during a period. In particular, Zoom believes the consideration of measures that exclude such expenses can assist in the comparison of operational performance in different periods which may or may not include such expenses and assist in the comparison with the results of other companies in the industry.</w:t>
      </w:r>
    </w:p>
    <w:p>
      <w:pPr>
        <w:spacing w:after="0" w:line="7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Non-GAAP Net Income and Non-GAAP Net Income Per Share, Basic and Diluted. Zoom defines non-GAAP net income and non-GAAP net income per share, basic and diluted, as GAAP net income attributable to common stockholders and GAAP net income per share attributable to common stockholders, basic and diluted, respectively, adjusted to exclude stock-based compensation expense and related payroll taxes, acquisition-related expenses, expenses related to charitable donation of common stock, and undistributed earnings attributable to participating securities. Zoom excludes undistributed earnings attributable to participating securities because they are considered by management to be outside of Zoom’s core operating results, and excluding them provides investors and management with greater visibility to the underlying performance of Zoom’s business operations, facilitates comparison of its results with other periods and may also facilitate comparison with the results of other companies in the industry.</w:t>
      </w:r>
    </w:p>
    <w:p>
      <w:pPr>
        <w:spacing w:after="0" w:line="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order to calculate non-GAAP net income per share, basic and diluted, Zoom uses a non-GAAP weighted-average share count. Zoom defines non-GAAP weighted-average shares used to compute non-GAAP net income per share, basic and diluted, as GAAP weighted average shares used to compute net income per share attributable to common stockholders, basic and diluted, adjusted to reflect the common stock issued in connection with the IPO, including the concurrent private placement, that are outstanding as of the end of the period as if they were outstanding as of the beginning of the period for comparability.</w:t>
      </w:r>
    </w:p>
    <w:p>
      <w:pPr>
        <w:spacing w:after="0" w:line="8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Free Cash Flow. Zoom defines free cash flow as GAAP net cash provided by operating activities less purchases of property and equipment. Zoom considers free cash flow to be a liquidity measure that provides useful information to management and investors regarding net cash provided by operating activities and cash used for investments in property and equipment required to maintain and grow the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Metrics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Zoom defines a customer as a separate and distinct buying entity, which can be a single paid host or an organization of any size (including a distinct unit of an organization) that has multiple paid hosts.</w:t>
      </w:r>
    </w:p>
    <w:p>
      <w:pPr>
        <w:spacing w:after="0" w:line="62"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Zoom calculates net dollar expansion rate as of a period end by starting with the annual recurring revenue (“ARR”) from all customers with more than 10 employees as of 12 months prior (“Prior Period ARR”). Zoom defines ARR as the annualized revenue run rate of subscription agreements from all customers at a point in time. We then calculate the ARR from these customers as of the current period end (“Current Period ARR”), which includes any upsells, contraction, and attrition. Zoom divides the Current Period ARR by the Prior Period ARR to arrive at the net dollar expansion rate. For the trailing 12 months calculation, Zoom takes an average of the net dollar expansion rate over the trailing 12 months.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Colleen Rodriguez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Global Media Relations Lead for Zoom</w:t>
      </w:r>
    </w:p>
    <w:p>
      <w:pPr>
        <w:sectPr>
          <w:pgSz w:w="11900" w:h="16838" w:orient="portrait"/>
          <w:cols w:equalWidth="0" w:num="1">
            <w:col w:w="11220"/>
          </w:cols>
          <w:pgMar w:left="320" w:top="1003"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press@zoom.us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Tom McCallum</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Head of Investor Relations for Zoom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investors@zoom.us</w:t>
      </w:r>
    </w:p>
    <w:p>
      <w:pPr>
        <w:sectPr>
          <w:pgSz w:w="11900" w:h="16838" w:orient="portrait"/>
          <w:cols w:equalWidth="0" w:num="1">
            <w:col w:w="10139"/>
          </w:cols>
          <w:pgMar w:left="320" w:top="895"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As of</w:t>
            </w:r>
          </w:p>
        </w:tc>
        <w:tc>
          <w:tcPr>
            <w:tcW w:w="1220" w:type="dxa"/>
            <w:vAlign w:val="bottom"/>
            <w:tcBorders>
              <w:bottom w:val="single" w:sz="8" w:color="auto"/>
            </w:tcBorders>
          </w:tcPr>
          <w:p>
            <w:pPr>
              <w:spacing w:after="0"/>
              <w:rPr>
                <w:sz w:val="16"/>
                <w:szCs w:val="16"/>
                <w:color w:val="auto"/>
              </w:rPr>
            </w:pPr>
          </w:p>
        </w:tc>
      </w:tr>
      <w:tr>
        <w:trPr>
          <w:trHeight w:val="152"/>
        </w:trPr>
        <w:tc>
          <w:tcPr>
            <w:tcW w:w="8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July 31,</w:t>
            </w:r>
          </w:p>
        </w:tc>
        <w:tc>
          <w:tcPr>
            <w:tcW w:w="240" w:type="dxa"/>
            <w:vAlign w:val="bottom"/>
          </w:tcPr>
          <w:p>
            <w:pPr>
              <w:spacing w:after="0"/>
              <w:rPr>
                <w:sz w:val="13"/>
                <w:szCs w:val="13"/>
                <w:color w:val="auto"/>
              </w:rPr>
            </w:pPr>
          </w:p>
        </w:tc>
        <w:tc>
          <w:tcPr>
            <w:tcW w:w="1220" w:type="dxa"/>
            <w:vAlign w:val="bottom"/>
          </w:tcPr>
          <w:p>
            <w:pPr>
              <w:jc w:val="right"/>
              <w:ind w:right="271"/>
              <w:spacing w:after="0" w:line="153" w:lineRule="exact"/>
              <w:rPr>
                <w:sz w:val="20"/>
                <w:szCs w:val="20"/>
                <w:color w:val="auto"/>
              </w:rPr>
            </w:pPr>
            <w:r>
              <w:rPr>
                <w:rFonts w:ascii="Arial" w:cs="Arial" w:eastAsia="Arial" w:hAnsi="Arial"/>
                <w:sz w:val="14"/>
                <w:szCs w:val="14"/>
                <w:b w:val="1"/>
                <w:bCs w:val="1"/>
                <w:color w:val="auto"/>
              </w:rPr>
              <w:t>January 31,</w:t>
            </w:r>
          </w:p>
        </w:tc>
      </w:tr>
      <w:tr>
        <w:trPr>
          <w:trHeight w:val="192"/>
        </w:trPr>
        <w:tc>
          <w:tcPr>
            <w:tcW w:w="8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236"/>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748,944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283,134</w:t>
            </w:r>
          </w:p>
        </w:tc>
      </w:tr>
      <w:tr>
        <w:trPr>
          <w:trHeight w:val="243"/>
        </w:trPr>
        <w:tc>
          <w:tcPr>
            <w:tcW w:w="822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732,995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572,060</w:t>
            </w:r>
          </w:p>
        </w:tc>
      </w:tr>
      <w:tr>
        <w:trPr>
          <w:trHeight w:val="27"/>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295,330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120,435</w:t>
            </w:r>
          </w:p>
        </w:tc>
      </w:tr>
      <w:tr>
        <w:trPr>
          <w:trHeight w:val="243"/>
        </w:trPr>
        <w:tc>
          <w:tcPr>
            <w:tcW w:w="8220" w:type="dxa"/>
            <w:vAlign w:val="bottom"/>
          </w:tcPr>
          <w:p>
            <w:pPr>
              <w:ind w:left="220"/>
              <w:spacing w:after="0"/>
              <w:rPr>
                <w:sz w:val="20"/>
                <w:szCs w:val="20"/>
                <w:color w:val="auto"/>
              </w:rPr>
            </w:pPr>
            <w:r>
              <w:rPr>
                <w:rFonts w:ascii="Arial" w:cs="Arial" w:eastAsia="Arial" w:hAnsi="Arial"/>
                <w:sz w:val="18"/>
                <w:szCs w:val="18"/>
                <w:color w:val="auto"/>
              </w:rPr>
              <w:t>Deferred contract acquisition costs, current</w:t>
            </w: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111,545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44,885</w:t>
            </w:r>
          </w:p>
        </w:tc>
      </w:tr>
      <w:tr>
        <w:trPr>
          <w:trHeight w:val="27"/>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343,288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75,008</w:t>
            </w:r>
          </w:p>
        </w:tc>
      </w:tr>
      <w:tr>
        <w:trPr>
          <w:trHeight w:val="237"/>
        </w:trPr>
        <w:tc>
          <w:tcPr>
            <w:tcW w:w="8220" w:type="dxa"/>
            <w:vAlign w:val="bottom"/>
          </w:tcPr>
          <w:p>
            <w:pPr>
              <w:ind w:left="54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2,232,102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1,095,522</w:t>
            </w:r>
          </w:p>
        </w:tc>
      </w:tr>
      <w:tr>
        <w:trPr>
          <w:trHeight w:val="27"/>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contract acquisition costs, noncurrent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152,595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46,245</w:t>
            </w: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91,291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57,138</w:t>
            </w:r>
          </w:p>
        </w:tc>
      </w:tr>
      <w:tr>
        <w:trPr>
          <w:trHeight w:val="27"/>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65,295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68,608</w:t>
            </w: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24,340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 noncurrent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59,318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22,332</w:t>
            </w:r>
          </w:p>
        </w:tc>
      </w:tr>
      <w:tr>
        <w:trPr>
          <w:trHeight w:val="263"/>
        </w:trPr>
        <w:tc>
          <w:tcPr>
            <w:tcW w:w="82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2,624,941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1,289,845</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7"/>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1,596</w:t>
            </w:r>
          </w:p>
        </w:tc>
      </w:tr>
      <w:tr>
        <w:trPr>
          <w:trHeight w:val="243"/>
        </w:trPr>
        <w:tc>
          <w:tcPr>
            <w:tcW w:w="8220" w:type="dxa"/>
            <w:vAlign w:val="bottom"/>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560,188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122,692</w:t>
            </w:r>
          </w:p>
        </w:tc>
      </w:tr>
      <w:tr>
        <w:trPr>
          <w:trHeight w:val="27"/>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Deferred revenue, current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714,523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209,542</w:t>
            </w:r>
          </w:p>
        </w:tc>
      </w:tr>
      <w:tr>
        <w:trPr>
          <w:trHeight w:val="237"/>
        </w:trPr>
        <w:tc>
          <w:tcPr>
            <w:tcW w:w="8220" w:type="dxa"/>
            <w:vAlign w:val="bottom"/>
          </w:tcPr>
          <w:p>
            <w:pPr>
              <w:ind w:left="54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1,287,326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333,830</w:t>
            </w:r>
          </w:p>
        </w:tc>
      </w:tr>
      <w:tr>
        <w:trPr>
          <w:trHeight w:val="27"/>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noncurrent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20,994</w:t>
            </w: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Operating lease liabilities, noncurrent</w:t>
            </w: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63,105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64,792</w:t>
            </w:r>
          </w:p>
        </w:tc>
      </w:tr>
      <w:tr>
        <w:trPr>
          <w:trHeight w:val="27"/>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 noncurrent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47,608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36,286</w:t>
            </w:r>
          </w:p>
        </w:tc>
      </w:tr>
      <w:tr>
        <w:trPr>
          <w:trHeight w:val="237"/>
        </w:trPr>
        <w:tc>
          <w:tcPr>
            <w:tcW w:w="82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1,426,129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455,902</w:t>
            </w:r>
          </w:p>
        </w:tc>
      </w:tr>
      <w:tr>
        <w:trPr>
          <w:trHeight w:val="27"/>
        </w:trPr>
        <w:tc>
          <w:tcPr>
            <w:tcW w:w="8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Preferred stock</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220" w:type="dxa"/>
            <w:vAlign w:val="bottom"/>
          </w:tcPr>
          <w:p>
            <w:pPr>
              <w:ind w:left="220"/>
              <w:spacing w:after="0"/>
              <w:rPr>
                <w:sz w:val="20"/>
                <w:szCs w:val="20"/>
                <w:color w:val="auto"/>
              </w:rPr>
            </w:pPr>
            <w:r>
              <w:rPr>
                <w:rFonts w:ascii="Arial" w:cs="Arial" w:eastAsia="Arial" w:hAnsi="Arial"/>
                <w:sz w:val="18"/>
                <w:szCs w:val="18"/>
                <w:color w:val="auto"/>
              </w:rPr>
              <w:t>Common stock</w:t>
            </w: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277</w:t>
            </w:r>
          </w:p>
        </w:tc>
      </w:tr>
      <w:tr>
        <w:trPr>
          <w:trHeight w:val="27"/>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982,541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832,705</w:t>
            </w:r>
          </w:p>
        </w:tc>
      </w:tr>
      <w:tr>
        <w:trPr>
          <w:trHeight w:val="243"/>
        </w:trPr>
        <w:tc>
          <w:tcPr>
            <w:tcW w:w="8220" w:type="dxa"/>
            <w:vAlign w:val="bottom"/>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2,772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809</w:t>
            </w:r>
          </w:p>
        </w:tc>
      </w:tr>
      <w:tr>
        <w:trPr>
          <w:trHeight w:val="27"/>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213,216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37"/>
        </w:trPr>
        <w:tc>
          <w:tcPr>
            <w:tcW w:w="822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1,198,812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833,943</w:t>
            </w:r>
          </w:p>
        </w:tc>
      </w:tr>
      <w:tr>
        <w:trPr>
          <w:trHeight w:val="27"/>
        </w:trPr>
        <w:tc>
          <w:tcPr>
            <w:tcW w:w="8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9"/>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2,624,941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1,289,845</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Note: The amount of unbilled accounts receivable included within accounts receivable, net on the condensed consolidated balance sheets was $20.5 million and $12.5 million as of July 31, 2020 and January 31, 2020, respectively.</w:t>
      </w:r>
    </w:p>
    <w:p>
      <w:pPr>
        <w:sectPr>
          <w:pgSz w:w="11900" w:h="16838" w:orient="portrait"/>
          <w:cols w:equalWidth="0" w:num="1">
            <w:col w:w="11240"/>
          </w:cols>
          <w:pgMar w:left="320" w:top="89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2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July 31,</w:t>
            </w:r>
          </w:p>
        </w:tc>
        <w:tc>
          <w:tcPr>
            <w:tcW w:w="280" w:type="dxa"/>
            <w:vAlign w:val="bottom"/>
          </w:tcPr>
          <w:p>
            <w:pPr>
              <w:spacing w:after="0"/>
              <w:rPr>
                <w:sz w:val="16"/>
                <w:szCs w:val="16"/>
                <w:color w:val="auto"/>
              </w:rPr>
            </w:pPr>
          </w:p>
        </w:tc>
        <w:tc>
          <w:tcPr>
            <w:tcW w:w="272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196"/>
        </w:trPr>
        <w:tc>
          <w:tcPr>
            <w:tcW w:w="514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663,520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145,826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991,687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267,814</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192,271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27,900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295,978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52,004</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471,249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117,926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695,709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215,810</w:t>
            </w: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28,837</w:t>
            </w:r>
          </w:p>
        </w:tc>
        <w:tc>
          <w:tcPr>
            <w:tcW w:w="0" w:type="dxa"/>
            <w:vAlign w:val="bottom"/>
          </w:tcPr>
          <w:p>
            <w:pPr>
              <w:spacing w:after="0"/>
              <w:rPr>
                <w:sz w:val="1"/>
                <w:szCs w:val="1"/>
                <w:color w:val="auto"/>
              </w:rPr>
            </w:pPr>
          </w:p>
        </w:tc>
      </w:tr>
      <w:tr>
        <w:trPr>
          <w:trHeight w:val="243"/>
        </w:trPr>
        <w:tc>
          <w:tcPr>
            <w:tcW w:w="514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159,173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79,652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280,729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143,693</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81,238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20,955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134,368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39,458</w:t>
            </w:r>
          </w:p>
        </w:tc>
        <w:tc>
          <w:tcPr>
            <w:tcW w:w="0" w:type="dxa"/>
            <w:vAlign w:val="bottom"/>
          </w:tcPr>
          <w:p>
            <w:pPr>
              <w:spacing w:after="0"/>
              <w:rPr>
                <w:sz w:val="1"/>
                <w:szCs w:val="1"/>
                <w:color w:val="auto"/>
              </w:rPr>
            </w:pPr>
          </w:p>
        </w:tc>
      </w:tr>
      <w:tr>
        <w:trPr>
          <w:trHeight w:val="237"/>
        </w:trPr>
        <w:tc>
          <w:tcPr>
            <w:tcW w:w="5140" w:type="dxa"/>
            <w:vAlign w:val="bottom"/>
          </w:tcPr>
          <w:p>
            <w:pPr>
              <w:ind w:left="54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283,145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115,661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484,220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211,988</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188,104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211,489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3,822</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Interest income and other, net</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2,081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4,492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7,871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5,465</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before provision for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190,185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219,360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9,287</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4,196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1,216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6,296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185,989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213,064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7,755</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Undistributed earnings attributable to participating securities</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(2,794)</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185,742</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5,521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212,759</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4,961</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attributable to common stockholders: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40" w:type="dxa"/>
            <w:vAlign w:val="bottom"/>
          </w:tcPr>
          <w:p>
            <w:pPr>
              <w:ind w:left="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3"/>
                <w:szCs w:val="23"/>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5"/>
              </w:rPr>
              <w:t>Weighted-average shares used in computing net income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1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attributable to common stockholders:</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282,850,805</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271,813,141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281,394,901</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192,130,510</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140" w:type="dxa"/>
            <w:vAlign w:val="bottom"/>
          </w:tcPr>
          <w:p>
            <w:pPr>
              <w:ind w:left="2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297,162,309</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292,185,665</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296,408,229</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215,774,619</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4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July 31,</w:t>
            </w:r>
          </w:p>
        </w:tc>
        <w:tc>
          <w:tcPr>
            <w:tcW w:w="320" w:type="dxa"/>
            <w:vAlign w:val="bottom"/>
          </w:tcPr>
          <w:p>
            <w:pPr>
              <w:spacing w:after="0"/>
              <w:rPr>
                <w:sz w:val="18"/>
                <w:szCs w:val="18"/>
                <w:color w:val="auto"/>
              </w:rPr>
            </w:pPr>
          </w:p>
        </w:tc>
        <w:tc>
          <w:tcPr>
            <w:tcW w:w="270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Six Months Ended July 31,</w:t>
            </w:r>
          </w:p>
        </w:tc>
      </w:tr>
      <w:tr>
        <w:trPr>
          <w:trHeight w:val="33"/>
        </w:trPr>
        <w:tc>
          <w:tcPr>
            <w:tcW w:w="5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5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33"/>
        </w:trPr>
        <w:tc>
          <w:tcPr>
            <w:tcW w:w="5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224"/>
        </w:trPr>
        <w:tc>
          <w:tcPr>
            <w:tcW w:w="51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185,989</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5,541</w:t>
            </w:r>
          </w:p>
        </w:tc>
        <w:tc>
          <w:tcPr>
            <w:tcW w:w="12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213,064</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7,755</w:t>
            </w:r>
          </w:p>
        </w:tc>
      </w:tr>
      <w:tr>
        <w:trPr>
          <w:trHeight w:val="33"/>
        </w:trPr>
        <w:tc>
          <w:tcPr>
            <w:tcW w:w="5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0"/>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9"/>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activities:</w:t>
            </w:r>
          </w:p>
        </w:tc>
        <w:tc>
          <w:tcPr>
            <w:tcW w:w="2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r>
      <w:tr>
        <w:trPr>
          <w:trHeight w:val="223"/>
        </w:trPr>
        <w:tc>
          <w:tcPr>
            <w:tcW w:w="5100" w:type="dxa"/>
            <w:vAlign w:val="bottom"/>
          </w:tcPr>
          <w:p>
            <w:pPr>
              <w:ind w:left="220"/>
              <w:spacing w:after="0"/>
              <w:rPr>
                <w:sz w:val="20"/>
                <w:szCs w:val="20"/>
                <w:color w:val="auto"/>
              </w:rPr>
            </w:pPr>
            <w:r>
              <w:rPr>
                <w:rFonts w:ascii="Arial" w:cs="Arial" w:eastAsia="Arial" w:hAnsi="Arial"/>
                <w:sz w:val="16"/>
                <w:szCs w:val="16"/>
                <w:color w:val="auto"/>
              </w:rPr>
              <w:t>Stock-based compensation expense</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56,855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18,075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85,632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24,737</w:t>
            </w:r>
          </w:p>
        </w:tc>
      </w:tr>
      <w:tr>
        <w:trPr>
          <w:trHeight w:val="33"/>
        </w:trPr>
        <w:tc>
          <w:tcPr>
            <w:tcW w:w="5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5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Amortization of deferred contract acquisition costs</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24,494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8,607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40,781</w:t>
            </w: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16,026</w:t>
            </w:r>
          </w:p>
        </w:tc>
      </w:tr>
      <w:tr>
        <w:trPr>
          <w:trHeight w:val="224"/>
        </w:trPr>
        <w:tc>
          <w:tcPr>
            <w:tcW w:w="5100" w:type="dxa"/>
            <w:vAlign w:val="bottom"/>
          </w:tcPr>
          <w:p>
            <w:pPr>
              <w:ind w:left="220"/>
              <w:spacing w:after="0"/>
              <w:rPr>
                <w:sz w:val="20"/>
                <w:szCs w:val="20"/>
                <w:color w:val="auto"/>
              </w:rPr>
            </w:pPr>
            <w:r>
              <w:rPr>
                <w:rFonts w:ascii="Arial" w:cs="Arial" w:eastAsia="Arial" w:hAnsi="Arial"/>
                <w:sz w:val="16"/>
                <w:szCs w:val="16"/>
                <w:color w:val="auto"/>
              </w:rPr>
              <w:t>Charitable donation of common stock</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22,312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23,312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5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5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Provision for accounts receivable allowances</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11,091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14,959</w:t>
            </w: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2,693</w:t>
            </w:r>
          </w:p>
        </w:tc>
      </w:tr>
      <w:tr>
        <w:trPr>
          <w:trHeight w:val="223"/>
        </w:trPr>
        <w:tc>
          <w:tcPr>
            <w:tcW w:w="51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6,475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3,850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11,814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7,174</w:t>
            </w:r>
          </w:p>
        </w:tc>
      </w:tr>
      <w:tr>
        <w:trPr>
          <w:trHeight w:val="33"/>
        </w:trPr>
        <w:tc>
          <w:tcPr>
            <w:tcW w:w="5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6"/>
        </w:trPr>
        <w:tc>
          <w:tcPr>
            <w:tcW w:w="5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Non-cash operating lease cost</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3,116</w:t>
            </w:r>
          </w:p>
        </w:tc>
      </w:tr>
      <w:tr>
        <w:trPr>
          <w:trHeight w:val="224"/>
        </w:trPr>
        <w:tc>
          <w:tcPr>
            <w:tcW w:w="5100" w:type="dxa"/>
            <w:vAlign w:val="bottom"/>
          </w:tcPr>
          <w:p>
            <w:pPr>
              <w:ind w:left="220"/>
              <w:spacing w:after="0"/>
              <w:rPr>
                <w:sz w:val="20"/>
                <w:szCs w:val="20"/>
                <w:color w:val="auto"/>
              </w:rPr>
            </w:pPr>
            <w:r>
              <w:rPr>
                <w:rFonts w:ascii="Arial" w:cs="Arial" w:eastAsia="Arial" w:hAnsi="Arial"/>
                <w:sz w:val="16"/>
                <w:szCs w:val="16"/>
                <w:color w:val="auto"/>
              </w:rPr>
              <w:t>Remeasurement gain on equity investment</w:t>
            </w: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5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5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2,028</w:t>
            </w: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(514)</w:t>
            </w:r>
          </w:p>
        </w:tc>
      </w:tr>
      <w:tr>
        <w:trPr>
          <w:trHeight w:val="224"/>
        </w:trPr>
        <w:tc>
          <w:tcPr>
            <w:tcW w:w="510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3"/>
        </w:trPr>
        <w:tc>
          <w:tcPr>
            <w:tcW w:w="5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6"/>
        </w:trPr>
        <w:tc>
          <w:tcPr>
            <w:tcW w:w="51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Accounts receivable</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(54,425)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(19,258)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(196,926)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(35,361)</w:t>
            </w:r>
          </w:p>
        </w:tc>
      </w:tr>
      <w:tr>
        <w:trPr>
          <w:trHeight w:val="224"/>
        </w:trPr>
        <w:tc>
          <w:tcPr>
            <w:tcW w:w="5100" w:type="dxa"/>
            <w:vAlign w:val="bottom"/>
          </w:tcPr>
          <w:p>
            <w:pPr>
              <w:ind w:left="460"/>
              <w:spacing w:after="0"/>
              <w:rPr>
                <w:sz w:val="20"/>
                <w:szCs w:val="20"/>
                <w:color w:val="auto"/>
              </w:rPr>
            </w:pPr>
            <w:r>
              <w:rPr>
                <w:rFonts w:ascii="Arial" w:cs="Arial" w:eastAsia="Arial" w:hAnsi="Arial"/>
                <w:sz w:val="16"/>
                <w:szCs w:val="16"/>
                <w:color w:val="auto"/>
              </w:rPr>
              <w:t>Prepaid expenses and other assets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(14,980)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(53,729)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(23,597)</w:t>
            </w:r>
          </w:p>
        </w:tc>
      </w:tr>
      <w:tr>
        <w:trPr>
          <w:trHeight w:val="33"/>
        </w:trPr>
        <w:tc>
          <w:tcPr>
            <w:tcW w:w="5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51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Deferred contract acquisition costs</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(88,936)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(19,266)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(213,790)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(33,700)</w:t>
            </w:r>
          </w:p>
        </w:tc>
      </w:tr>
      <w:tr>
        <w:trPr>
          <w:trHeight w:val="224"/>
        </w:trPr>
        <w:tc>
          <w:tcPr>
            <w:tcW w:w="5100" w:type="dxa"/>
            <w:vAlign w:val="bottom"/>
          </w:tcPr>
          <w:p>
            <w:pPr>
              <w:ind w:left="460"/>
              <w:spacing w:after="0"/>
              <w:rPr>
                <w:sz w:val="20"/>
                <w:szCs w:val="20"/>
                <w:color w:val="auto"/>
              </w:rPr>
            </w:pPr>
            <w:r>
              <w:rPr>
                <w:rFonts w:ascii="Arial" w:cs="Arial" w:eastAsia="Arial" w:hAnsi="Arial"/>
                <w:sz w:val="16"/>
                <w:szCs w:val="16"/>
                <w:color w:val="auto"/>
              </w:rPr>
              <w:t>Accounts payable</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9,115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(7,156)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10,871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(2,783)</w:t>
            </w:r>
          </w:p>
        </w:tc>
      </w:tr>
      <w:tr>
        <w:trPr>
          <w:trHeight w:val="33"/>
        </w:trPr>
        <w:tc>
          <w:tcPr>
            <w:tcW w:w="5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6"/>
        </w:trPr>
        <w:tc>
          <w:tcPr>
            <w:tcW w:w="51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Accrued expenses and other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34,744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22,700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202,066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34,923</w:t>
            </w:r>
          </w:p>
        </w:tc>
      </w:tr>
      <w:tr>
        <w:trPr>
          <w:trHeight w:val="223"/>
        </w:trPr>
        <w:tc>
          <w:tcPr>
            <w:tcW w:w="5100" w:type="dxa"/>
            <w:vAlign w:val="bottom"/>
          </w:tcPr>
          <w:p>
            <w:pPr>
              <w:ind w:left="460"/>
              <w:spacing w:after="0"/>
              <w:rPr>
                <w:sz w:val="20"/>
                <w:szCs w:val="20"/>
                <w:color w:val="auto"/>
              </w:rPr>
            </w:pPr>
            <w:r>
              <w:rPr>
                <w:rFonts w:ascii="Arial" w:cs="Arial" w:eastAsia="Arial" w:hAnsi="Arial"/>
                <w:sz w:val="16"/>
                <w:szCs w:val="16"/>
                <w:color w:val="auto"/>
              </w:rPr>
              <w:t>Deferred revenue</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196,287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32,677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519,149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56,234</w:t>
            </w:r>
          </w:p>
        </w:tc>
      </w:tr>
      <w:tr>
        <w:trPr>
          <w:trHeight w:val="33"/>
        </w:trPr>
        <w:tc>
          <w:tcPr>
            <w:tcW w:w="5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6"/>
        </w:trPr>
        <w:tc>
          <w:tcPr>
            <w:tcW w:w="51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Operating lease liabilities, net</w:t>
            </w: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(3,295)</w:t>
            </w:r>
          </w:p>
        </w:tc>
      </w:tr>
      <w:tr>
        <w:trPr>
          <w:trHeight w:val="217"/>
        </w:trPr>
        <w:tc>
          <w:tcPr>
            <w:tcW w:w="5100" w:type="dxa"/>
            <w:vAlign w:val="bottom"/>
          </w:tcPr>
          <w:p>
            <w:pPr>
              <w:ind w:left="78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401,346</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31,172</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660,311</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53,408</w:t>
            </w:r>
          </w:p>
        </w:tc>
      </w:tr>
      <w:tr>
        <w:trPr>
          <w:trHeight w:val="33"/>
        </w:trPr>
        <w:tc>
          <w:tcPr>
            <w:tcW w:w="5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23"/>
        </w:trPr>
        <w:tc>
          <w:tcPr>
            <w:tcW w:w="5100" w:type="dxa"/>
            <w:vAlign w:val="bottom"/>
          </w:tcPr>
          <w:p>
            <w:pPr>
              <w:ind w:left="220"/>
              <w:spacing w:after="0"/>
              <w:rPr>
                <w:sz w:val="20"/>
                <w:szCs w:val="20"/>
                <w:color w:val="auto"/>
              </w:rPr>
            </w:pPr>
            <w:r>
              <w:rPr>
                <w:rFonts w:ascii="Arial" w:cs="Arial" w:eastAsia="Arial" w:hAnsi="Arial"/>
                <w:sz w:val="16"/>
                <w:szCs w:val="16"/>
                <w:color w:val="auto"/>
              </w:rPr>
              <w:t>Purchases of marketable securities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(277,336)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(455,175)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(484,882)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(478,487)</w:t>
            </w:r>
          </w:p>
        </w:tc>
      </w:tr>
      <w:tr>
        <w:trPr>
          <w:trHeight w:val="33"/>
        </w:trPr>
        <w:tc>
          <w:tcPr>
            <w:tcW w:w="5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5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Maturities of marketable securities</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150,324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22,050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287,338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50,940</w:t>
            </w:r>
          </w:p>
        </w:tc>
      </w:tr>
      <w:tr>
        <w:trPr>
          <w:trHeight w:val="223"/>
        </w:trPr>
        <w:tc>
          <w:tcPr>
            <w:tcW w:w="5100" w:type="dxa"/>
            <w:vAlign w:val="bottom"/>
          </w:tcPr>
          <w:p>
            <w:pPr>
              <w:ind w:left="220"/>
              <w:spacing w:after="0"/>
              <w:rPr>
                <w:sz w:val="20"/>
                <w:szCs w:val="20"/>
                <w:color w:val="auto"/>
              </w:rPr>
            </w:pPr>
            <w:r>
              <w:rPr>
                <w:rFonts w:ascii="Arial" w:cs="Arial" w:eastAsia="Arial" w:hAnsi="Arial"/>
                <w:sz w:val="16"/>
                <w:szCs w:val="16"/>
                <w:color w:val="auto"/>
              </w:rPr>
              <w:t>Sales of marketable securities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10,284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36,897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5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5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Purchases of property and equipment</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(27,981)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(14,040)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(35,253)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(20,937)</w:t>
            </w:r>
          </w:p>
        </w:tc>
      </w:tr>
      <w:tr>
        <w:trPr>
          <w:trHeight w:val="223"/>
        </w:trPr>
        <w:tc>
          <w:tcPr>
            <w:tcW w:w="5100" w:type="dxa"/>
            <w:vAlign w:val="bottom"/>
          </w:tcPr>
          <w:p>
            <w:pPr>
              <w:ind w:left="220"/>
              <w:spacing w:after="0"/>
              <w:rPr>
                <w:sz w:val="20"/>
                <w:szCs w:val="20"/>
                <w:color w:val="auto"/>
              </w:rPr>
            </w:pPr>
            <w:r>
              <w:rPr>
                <w:rFonts w:ascii="Arial" w:cs="Arial" w:eastAsia="Arial" w:hAnsi="Arial"/>
                <w:sz w:val="16"/>
                <w:szCs w:val="16"/>
                <w:color w:val="auto"/>
              </w:rPr>
              <w:t>Cash paid for acquisition, net of cash acquired</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(26,486)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(26,486)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5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6"/>
        </w:trPr>
        <w:tc>
          <w:tcPr>
            <w:tcW w:w="5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Purchase of equity investment</w:t>
            </w: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(8,000)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5100" w:type="dxa"/>
            <w:vAlign w:val="bottom"/>
          </w:tcPr>
          <w:p>
            <w:pPr>
              <w:ind w:left="220"/>
              <w:spacing w:after="0"/>
              <w:rPr>
                <w:sz w:val="20"/>
                <w:szCs w:val="20"/>
                <w:color w:val="auto"/>
              </w:rPr>
            </w:pPr>
            <w:r>
              <w:rPr>
                <w:rFonts w:ascii="Arial" w:cs="Arial" w:eastAsia="Arial" w:hAnsi="Arial"/>
                <w:sz w:val="16"/>
                <w:szCs w:val="16"/>
                <w:color w:val="auto"/>
              </w:rPr>
              <w:t>Purchase of convertible promissory note</w:t>
            </w: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5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6"/>
        </w:trPr>
        <w:tc>
          <w:tcPr>
            <w:tcW w:w="5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Purchase of intangible assets</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5100" w:type="dxa"/>
            <w:vAlign w:val="bottom"/>
          </w:tcPr>
          <w:p>
            <w:pPr>
              <w:ind w:left="220"/>
              <w:spacing w:after="0"/>
              <w:rPr>
                <w:sz w:val="20"/>
                <w:szCs w:val="20"/>
                <w:color w:val="auto"/>
              </w:rPr>
            </w:pPr>
            <w:r>
              <w:rPr>
                <w:rFonts w:ascii="Arial" w:cs="Arial" w:eastAsia="Arial" w:hAnsi="Arial"/>
                <w:sz w:val="16"/>
                <w:szCs w:val="16"/>
                <w:color w:val="auto"/>
              </w:rPr>
              <w:t>Collections of employee loans</w:t>
            </w: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5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51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(172,527)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(447,165)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(235,561)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(448,484)</w:t>
            </w:r>
          </w:p>
        </w:tc>
      </w:tr>
      <w:tr>
        <w:trPr>
          <w:trHeight w:val="223"/>
        </w:trPr>
        <w:tc>
          <w:tcPr>
            <w:tcW w:w="510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3"/>
        </w:trPr>
        <w:tc>
          <w:tcPr>
            <w:tcW w:w="5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0"/>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3"/>
              </w:rPr>
              <w:t>Proceeds from employee equity transactions to be remitted to employees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9"/>
        </w:trPr>
        <w:tc>
          <w:tcPr>
            <w:tcW w:w="5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and tax authorities, net</w:t>
            </w:r>
          </w:p>
        </w:tc>
        <w:tc>
          <w:tcPr>
            <w:tcW w:w="2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15,925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234,465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5100" w:type="dxa"/>
            <w:vAlign w:val="bottom"/>
          </w:tcPr>
          <w:p>
            <w:pPr>
              <w:ind w:left="220"/>
              <w:spacing w:after="0"/>
              <w:rPr>
                <w:sz w:val="20"/>
                <w:szCs w:val="20"/>
                <w:color w:val="auto"/>
              </w:rPr>
            </w:pPr>
            <w:r>
              <w:rPr>
                <w:rFonts w:ascii="Arial" w:cs="Arial" w:eastAsia="Arial" w:hAnsi="Arial"/>
                <w:sz w:val="16"/>
                <w:szCs w:val="16"/>
                <w:color w:val="auto"/>
                <w:w w:val="96"/>
              </w:rPr>
              <w:t>Proceeds from issuance of common stock for employee stock purchase</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06"/>
        </w:trPr>
        <w:tc>
          <w:tcPr>
            <w:tcW w:w="5100" w:type="dxa"/>
            <w:vAlign w:val="bottom"/>
          </w:tcPr>
          <w:p>
            <w:pPr>
              <w:ind w:left="220"/>
              <w:spacing w:after="0"/>
              <w:rPr>
                <w:sz w:val="20"/>
                <w:szCs w:val="20"/>
                <w:color w:val="auto"/>
              </w:rPr>
            </w:pPr>
            <w:r>
              <w:rPr>
                <w:rFonts w:ascii="Arial" w:cs="Arial" w:eastAsia="Arial" w:hAnsi="Arial"/>
                <w:sz w:val="16"/>
                <w:szCs w:val="16"/>
                <w:color w:val="auto"/>
              </w:rPr>
              <w:t>plan</w:t>
            </w: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20,760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20,760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5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5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Proceeds from exercise of stock options, net of repurchases</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7,831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17,417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2,191</w:t>
            </w:r>
          </w:p>
        </w:tc>
      </w:tr>
      <w:tr>
        <w:trPr>
          <w:trHeight w:val="220"/>
        </w:trPr>
        <w:tc>
          <w:tcPr>
            <w:tcW w:w="5100" w:type="dxa"/>
            <w:vAlign w:val="bottom"/>
          </w:tcPr>
          <w:p>
            <w:pPr>
              <w:ind w:left="220"/>
              <w:spacing w:after="0"/>
              <w:rPr>
                <w:sz w:val="20"/>
                <w:szCs w:val="20"/>
                <w:color w:val="auto"/>
              </w:rPr>
            </w:pPr>
            <w:r>
              <w:rPr>
                <w:rFonts w:ascii="Arial" w:cs="Arial" w:eastAsia="Arial" w:hAnsi="Arial"/>
                <w:sz w:val="16"/>
                <w:szCs w:val="16"/>
                <w:color w:val="auto"/>
              </w:rPr>
              <w:t>Proceeds from initial public offering and private placement, net of</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06"/>
        </w:trPr>
        <w:tc>
          <w:tcPr>
            <w:tcW w:w="5100" w:type="dxa"/>
            <w:vAlign w:val="bottom"/>
          </w:tcPr>
          <w:p>
            <w:pPr>
              <w:ind w:left="220"/>
              <w:spacing w:after="0"/>
              <w:rPr>
                <w:sz w:val="20"/>
                <w:szCs w:val="20"/>
                <w:color w:val="auto"/>
              </w:rPr>
            </w:pPr>
            <w:r>
              <w:rPr>
                <w:rFonts w:ascii="Arial" w:cs="Arial" w:eastAsia="Arial" w:hAnsi="Arial"/>
                <w:sz w:val="16"/>
                <w:szCs w:val="16"/>
                <w:color w:val="auto"/>
              </w:rPr>
              <w:t>underwriting discounts and commissions and other offering costs</w:t>
            </w:r>
          </w:p>
        </w:tc>
        <w:tc>
          <w:tcPr>
            <w:tcW w:w="28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542,947</w:t>
            </w:r>
          </w:p>
        </w:tc>
      </w:tr>
      <w:tr>
        <w:trPr>
          <w:trHeight w:val="33"/>
        </w:trPr>
        <w:tc>
          <w:tcPr>
            <w:tcW w:w="5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Net cash provided by (used in)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44,516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272,642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545,138</w:t>
            </w:r>
          </w:p>
        </w:tc>
      </w:tr>
      <w:tr>
        <w:trPr>
          <w:trHeight w:val="217"/>
        </w:trPr>
        <w:tc>
          <w:tcPr>
            <w:tcW w:w="5100" w:type="dxa"/>
            <w:vAlign w:val="bottom"/>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273,335</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(416,107)</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697,392</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150,062</w:t>
            </w:r>
          </w:p>
        </w:tc>
      </w:tr>
      <w:tr>
        <w:trPr>
          <w:trHeight w:val="33"/>
        </w:trPr>
        <w:tc>
          <w:tcPr>
            <w:tcW w:w="5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7"/>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 beginning of period</w:t>
            </w: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758,139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632,137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334,082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65,968</w:t>
            </w:r>
          </w:p>
        </w:tc>
      </w:tr>
      <w:tr>
        <w:trPr>
          <w:trHeight w:val="247"/>
        </w:trPr>
        <w:tc>
          <w:tcPr>
            <w:tcW w:w="510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 end of period</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1,031,474</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216,030</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1,031,474</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216,030</w:t>
            </w:r>
          </w:p>
        </w:tc>
      </w:tr>
      <w:tr>
        <w:trPr>
          <w:trHeight w:val="24"/>
        </w:trPr>
        <w:tc>
          <w:tcPr>
            <w:tcW w:w="5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ectPr>
          <w:pgSz w:w="11900" w:h="16838" w:orient="portrait"/>
          <w:cols w:equalWidth="0" w:num="1">
            <w:col w:w="11240"/>
          </w:cols>
          <w:pgMar w:left="320" w:top="769" w:right="339" w:bottom="1440" w:gutter="0" w:footer="0" w:header="0"/>
        </w:sectPr>
      </w:pPr>
    </w:p>
    <w:bookmarkStart w:id="10" w:name="page11"/>
    <w:bookmarkEnd w:id="10"/>
    <w:p>
      <w:pPr>
        <w:jc w:val="center"/>
        <w:ind w:right="-9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Reconciliation of GAAP to Non-GAAP Measures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in thousands, except share and per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July 31,</w:t>
            </w:r>
          </w:p>
        </w:tc>
        <w:tc>
          <w:tcPr>
            <w:tcW w:w="280" w:type="dxa"/>
            <w:vAlign w:val="bottom"/>
          </w:tcPr>
          <w:p>
            <w:pPr>
              <w:spacing w:after="0"/>
              <w:rPr>
                <w:sz w:val="16"/>
                <w:szCs w:val="16"/>
                <w:color w:val="auto"/>
              </w:rPr>
            </w:pPr>
          </w:p>
        </w:tc>
        <w:tc>
          <w:tcPr>
            <w:tcW w:w="268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196"/>
        </w:trPr>
        <w:tc>
          <w:tcPr>
            <w:tcW w:w="5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GAAP income from operations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188,104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211,489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3,822</w:t>
            </w: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Add:</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9"/>
              </w:rPr>
              <w:t>Stock-based compensation expense and related payroll taxes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25,131</w:t>
            </w:r>
          </w:p>
        </w:tc>
        <w:tc>
          <w:tcPr>
            <w:tcW w:w="0" w:type="dxa"/>
            <w:vAlign w:val="bottom"/>
          </w:tcPr>
          <w:p>
            <w:pPr>
              <w:spacing w:after="0"/>
              <w:rPr>
                <w:sz w:val="1"/>
                <w:szCs w:val="1"/>
                <w:color w:val="auto"/>
              </w:rPr>
            </w:pPr>
          </w:p>
        </w:tc>
      </w:tr>
      <w:tr>
        <w:trPr>
          <w:trHeight w:val="243"/>
        </w:trPr>
        <w:tc>
          <w:tcPr>
            <w:tcW w:w="5120" w:type="dxa"/>
            <w:vAlign w:val="bottom"/>
          </w:tcPr>
          <w:p>
            <w:pPr>
              <w:ind w:left="220"/>
              <w:spacing w:after="0"/>
              <w:rPr>
                <w:sz w:val="20"/>
                <w:szCs w:val="20"/>
                <w:color w:val="auto"/>
              </w:rPr>
            </w:pPr>
            <w:r>
              <w:rPr>
                <w:rFonts w:ascii="Arial" w:cs="Arial" w:eastAsia="Arial" w:hAnsi="Arial"/>
                <w:sz w:val="18"/>
                <w:szCs w:val="18"/>
                <w:color w:val="auto"/>
              </w:rPr>
              <w:t>Charitable donation of common stock</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22,312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23,312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Acquisition-related expenses</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5120" w:type="dxa"/>
            <w:vAlign w:val="bottom"/>
          </w:tcPr>
          <w:p>
            <w:pPr>
              <w:ind w:left="20"/>
              <w:spacing w:after="0"/>
              <w:rPr>
                <w:sz w:val="20"/>
                <w:szCs w:val="20"/>
                <w:color w:val="auto"/>
              </w:rPr>
            </w:pPr>
            <w:r>
              <w:rPr>
                <w:rFonts w:ascii="Arial" w:cs="Arial" w:eastAsia="Arial" w:hAnsi="Arial"/>
                <w:sz w:val="18"/>
                <w:szCs w:val="18"/>
                <w:color w:val="auto"/>
              </w:rPr>
              <w:t>Non-GAAP income from operations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276,960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20,734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331,591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28,953</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GAAP net income attributable to common stockholders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185,742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5,521</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212,759</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4,961</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220"/>
              <w:spacing w:after="0"/>
              <w:rPr>
                <w:sz w:val="20"/>
                <w:szCs w:val="20"/>
                <w:color w:val="auto"/>
              </w:rPr>
            </w:pPr>
            <w:r>
              <w:rPr>
                <w:rFonts w:ascii="Arial" w:cs="Arial" w:eastAsia="Arial" w:hAnsi="Arial"/>
                <w:sz w:val="18"/>
                <w:szCs w:val="18"/>
                <w:color w:val="auto"/>
                <w:w w:val="99"/>
              </w:rPr>
              <w:t>Stock-based compensation expense and related payroll taxes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61,602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18,469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91,848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25,131</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Charitable donation of common stock</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20" w:type="dxa"/>
            <w:vAlign w:val="bottom"/>
          </w:tcPr>
          <w:p>
            <w:pPr>
              <w:ind w:left="220"/>
              <w:spacing w:after="0"/>
              <w:rPr>
                <w:sz w:val="20"/>
                <w:szCs w:val="20"/>
                <w:color w:val="auto"/>
              </w:rPr>
            </w:pPr>
            <w:r>
              <w:rPr>
                <w:rFonts w:ascii="Arial" w:cs="Arial" w:eastAsia="Arial" w:hAnsi="Arial"/>
                <w:sz w:val="18"/>
                <w:szCs w:val="18"/>
                <w:color w:val="auto"/>
              </w:rPr>
              <w:t>Acquisition-related expenses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Undistributed earnings attributable to participating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2,794</w:t>
            </w:r>
          </w:p>
        </w:tc>
        <w:tc>
          <w:tcPr>
            <w:tcW w:w="0" w:type="dxa"/>
            <w:vAlign w:val="bottom"/>
          </w:tcPr>
          <w:p>
            <w:pPr>
              <w:spacing w:after="0"/>
              <w:rPr>
                <w:sz w:val="1"/>
                <w:szCs w:val="1"/>
                <w:color w:val="auto"/>
              </w:rPr>
            </w:pPr>
          </w:p>
        </w:tc>
      </w:tr>
      <w:tr>
        <w:trPr>
          <w:trHeight w:val="263"/>
        </w:trPr>
        <w:tc>
          <w:tcPr>
            <w:tcW w:w="5120" w:type="dxa"/>
            <w:vAlign w:val="bottom"/>
          </w:tcPr>
          <w:p>
            <w:pPr>
              <w:ind w:left="20"/>
              <w:spacing w:after="0"/>
              <w:rPr>
                <w:sz w:val="20"/>
                <w:szCs w:val="20"/>
                <w:color w:val="auto"/>
              </w:rPr>
            </w:pPr>
            <w:r>
              <w:rPr>
                <w:rFonts w:ascii="Arial" w:cs="Arial" w:eastAsia="Arial" w:hAnsi="Arial"/>
                <w:sz w:val="18"/>
                <w:szCs w:val="18"/>
                <w:color w:val="auto"/>
              </w:rPr>
              <w:t>Non-GAAP net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274,845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24,010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333,166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32,886</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Net income per share - basic and diluted:</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5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GAAP net income per share - basic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120" w:type="dxa"/>
            <w:vAlign w:val="bottom"/>
          </w:tcPr>
          <w:p>
            <w:pPr>
              <w:ind w:left="220"/>
              <w:spacing w:after="0"/>
              <w:rPr>
                <w:sz w:val="20"/>
                <w:szCs w:val="20"/>
                <w:color w:val="auto"/>
              </w:rPr>
            </w:pPr>
            <w:r>
              <w:rPr>
                <w:rFonts w:ascii="Arial" w:cs="Arial" w:eastAsia="Arial" w:hAnsi="Arial"/>
                <w:sz w:val="18"/>
                <w:szCs w:val="18"/>
                <w:color w:val="auto"/>
              </w:rPr>
              <w:t>GAAP net income per share - diluted</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Non-GAAP net income per share - basic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120" w:type="dxa"/>
            <w:vAlign w:val="bottom"/>
          </w:tcPr>
          <w:p>
            <w:pPr>
              <w:ind w:left="220"/>
              <w:spacing w:after="0"/>
              <w:rPr>
                <w:sz w:val="20"/>
                <w:szCs w:val="20"/>
                <w:color w:val="auto"/>
              </w:rPr>
            </w:pPr>
            <w:r>
              <w:rPr>
                <w:rFonts w:ascii="Arial" w:cs="Arial" w:eastAsia="Arial" w:hAnsi="Arial"/>
                <w:sz w:val="18"/>
                <w:szCs w:val="18"/>
                <w:color w:val="auto"/>
              </w:rPr>
              <w:t>Non-GAAP net income per share - diluted</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0.92</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w w:val="97"/>
              </w:rPr>
              <w:t>GAAP weighted-average shares used to compute net income per</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share - basic</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282,850,805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271,813,141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281,394,901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192,130,510</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20"/>
              <w:spacing w:after="0"/>
              <w:rPr>
                <w:sz w:val="20"/>
                <w:szCs w:val="20"/>
                <w:color w:val="auto"/>
              </w:rPr>
            </w:pPr>
            <w:r>
              <w:rPr>
                <w:rFonts w:ascii="Arial" w:cs="Arial" w:eastAsia="Arial" w:hAnsi="Arial"/>
                <w:sz w:val="18"/>
                <w:szCs w:val="18"/>
                <w:color w:val="auto"/>
                <w:w w:val="97"/>
              </w:rPr>
              <w:t>Non-GAAP unweighted adjustment for common stock issued in</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20"/>
              <w:spacing w:after="0"/>
              <w:rPr>
                <w:sz w:val="20"/>
                <w:szCs w:val="20"/>
                <w:color w:val="auto"/>
              </w:rPr>
            </w:pPr>
            <w:r>
              <w:rPr>
                <w:rFonts w:ascii="Arial" w:cs="Arial" w:eastAsia="Arial" w:hAnsi="Arial"/>
                <w:sz w:val="18"/>
                <w:szCs w:val="18"/>
                <w:color w:val="auto"/>
              </w:rPr>
              <w:t>connection with IPO</w:t>
            </w:r>
          </w:p>
        </w:tc>
        <w:tc>
          <w:tcPr>
            <w:tcW w:w="26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75,590,307</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Non-GAAP weighted-average shares used to compute net income</w:t>
            </w:r>
          </w:p>
        </w:tc>
        <w:tc>
          <w:tcPr>
            <w:tcW w:w="26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282,850,805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271,813,141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281,394,901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267,720,817</w:t>
            </w: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 share - basic</w:t>
            </w:r>
          </w:p>
        </w:tc>
        <w:tc>
          <w:tcPr>
            <w:tcW w:w="2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GAAP weighted-average shares used to compute net income per</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 - diluted</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297,162,309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292,185,665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296,408,229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215,774,619</w:t>
            </w: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Add:</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Non-GAAP unweighted adjustment for common stock issued in</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connection with IPO</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75,590,307</w:t>
            </w:r>
          </w:p>
        </w:tc>
        <w:tc>
          <w:tcPr>
            <w:tcW w:w="0" w:type="dxa"/>
            <w:vAlign w:val="bottom"/>
          </w:tcPr>
          <w:p>
            <w:pPr>
              <w:spacing w:after="0"/>
              <w:rPr>
                <w:sz w:val="1"/>
                <w:szCs w:val="1"/>
                <w:color w:val="auto"/>
              </w:rPr>
            </w:pPr>
          </w:p>
        </w:tc>
      </w:tr>
      <w:tr>
        <w:trPr>
          <w:trHeight w:val="209"/>
        </w:trPr>
        <w:tc>
          <w:tcPr>
            <w:tcW w:w="5120" w:type="dxa"/>
            <w:vAlign w:val="bottom"/>
          </w:tcPr>
          <w:p>
            <w:pPr>
              <w:ind w:left="20"/>
              <w:spacing w:after="0"/>
              <w:rPr>
                <w:sz w:val="20"/>
                <w:szCs w:val="20"/>
                <w:color w:val="auto"/>
              </w:rPr>
            </w:pPr>
            <w:r>
              <w:rPr>
                <w:rFonts w:ascii="Arial" w:cs="Arial" w:eastAsia="Arial" w:hAnsi="Arial"/>
                <w:sz w:val="18"/>
                <w:szCs w:val="18"/>
                <w:color w:val="auto"/>
                <w:w w:val="96"/>
              </w:rPr>
              <w:t>Non-GAAP weighted-average shares used to compute net income</w:t>
            </w: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297,162,309</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292,185,665</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296,408,229</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291,364,926</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per share - diluted</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401,346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31,172</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660,311</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53,408</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220"/>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(27,981)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(35,253)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(20,937)</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 (non-GAAP)</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373,365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625,058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32,471</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1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(172,527)</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(447,165)</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(235,561)</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(448,484)</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272,642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545,138</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140"/>
      </w:cols>
      <w:pgMar w:left="320" w:top="89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2020-08-31T15:06:41Z</dcterms:created>
  <dcterms:modified xsi:type="dcterms:W3CDTF">2020-08-31T15:06:41Z</dcterms:modified>
</cp:coreProperties>
</file>