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24, 2025</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Zoom Video Communications, Inc.</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November 24, 2025, Zoom Communications, Inc. (the “Company”) issued a press release announcing its financial results for the three months ended October 31, 2025. A copy of the press release is furnished as Exhibit 99.1 to this report and is incorporated by reference.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920" w:type="dxa"/>
            <w:vAlign w:val="bottom"/>
            <w:tcBorders>
              <w:top w:val="single" w:sz="8" w:color="auto"/>
              <w:bottom w:val="single" w:sz="8" w:color="0000FF"/>
            </w:tcBorders>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November 24, 2025 of Zoom Communications, Inc.</w:t>
            </w:r>
          </w:p>
        </w:tc>
        <w:tc>
          <w:tcPr>
            <w:tcW w:w="4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55"/>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7140" w:type="dxa"/>
            <w:vAlign w:val="bottom"/>
            <w:gridSpan w:val="2"/>
          </w:tcPr>
          <w:p>
            <w:pPr>
              <w:ind w:left="168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24, 2025</w:t>
            </w:r>
          </w:p>
        </w:tc>
        <w:tc>
          <w:tcPr>
            <w:tcW w:w="23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5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Zoom Communications Reports Financial Results for the Third Quarter of Fiscal Year 2026</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total revenue of $1,229.8 million, up 4.4% year over year as reported and 4.2%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Enterprise revenue of $741.4 million, up 6.1%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GAAP operating margin of 25.2% and non-GAAP operating margin of 41.2%</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operating cash flow of $629.3 million, up 30.2%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operating cash flow margin of 51.2% and free cash flow margin of 50.0%</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GAAP EPS of $2.01, up 204.5% year over year, and non-GAAP EPS of $1.52, up 10.1%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9.2%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40" w:right="4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5.1 million shares of common stock in Q3, bringing the total shares repurchased under the current plan to 32.5 million</w:t>
      </w:r>
    </w:p>
    <w:p>
      <w:pPr>
        <w:spacing w:after="0" w:line="36" w:lineRule="exact"/>
        <w:rPr>
          <w:rFonts w:ascii="Times New Roman" w:cs="Times New Roman" w:eastAsia="Times New Roman" w:hAnsi="Times New Roman"/>
          <w:sz w:val="17"/>
          <w:szCs w:val="17"/>
          <w:b w:val="1"/>
          <w:bCs w:val="1"/>
          <w:i w:val="1"/>
          <w:iCs w:val="1"/>
          <w:color w:val="auto"/>
        </w:rPr>
      </w:pPr>
    </w:p>
    <w:p>
      <w:pPr>
        <w:ind w:left="940" w:right="8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Increased total common stock repurchase authorization by $1.0 billion, incremental to the $310.4 million remaining authorization as of October 31, 2025</w:t>
      </w:r>
    </w:p>
    <w:p>
      <w:pPr>
        <w:spacing w:after="0" w:line="142"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November 24, 2025 – Zoom Communications, Inc. (NASDAQ: ZM), today announced financial results for the third fiscal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October 31, 2025.</w:t>
      </w:r>
    </w:p>
    <w:p>
      <w:pPr>
        <w:spacing w:after="0" w:line="3"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7"/>
          <w:szCs w:val="17"/>
          <w:color w:val="auto"/>
        </w:rPr>
        <w:t>“Zoom is continuing to build on our vision of an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first platform that helps people connect and collaborate more seamlessly,” said Eric S. Yuan, Zoom’s founder and CEO. “This quarter we announced AI Companion 3.0, and we’re thrilled to see AI Companion adoption grow meaningfully. We’re also seeing strong momentum with Custom AI Companion and our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first Customer Experience suite, which helped make this one of our best CX quarters, with broad AI adoption across major deals. Our disciplined approach is fueling top-line growth, stellar profitability, and lower dilution helping us turn AI innovation into real, lasting value for customers and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Fiscal Year 2026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third quarter was $1,229.8 million, up 4.4%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$1,227.4 million, up 4.2% year over year. Enterprise revenue was $741.4 million, up 6.1% year over year, and Online revenue was $488.4 million, up 2.0% year over year.</w:t>
      </w:r>
    </w:p>
    <w:p>
      <w:pPr>
        <w:spacing w:after="0" w:line="56" w:lineRule="exact"/>
        <w:rPr>
          <w:rFonts w:ascii="Times New Roman" w:cs="Times New Roman" w:eastAsia="Times New Roman" w:hAnsi="Times New Roman"/>
          <w:sz w:val="17"/>
          <w:szCs w:val="17"/>
          <w:color w:val="auto"/>
        </w:rPr>
      </w:pPr>
    </w:p>
    <w:p>
      <w:pPr>
        <w:ind w:left="940" w:right="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third quarter was $310.4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$182.8 million in the third quarter of fiscal year 2025. Non-GAAP income from operations, which adjusts for stock-based compensation expense and related payroll taxes, acquisition-related expenses, and litigation settlements, net, was $507.0 million for the third quarter, compared to non-GAAP income from operations of $457.8 million in the third quarter of fiscal year 2025. For the third quarter, GAAP operating margin was 25.2% and non-GAAP operating margin was 41.2%.</w:t>
      </w:r>
    </w:p>
    <w:p>
      <w:pPr>
        <w:spacing w:after="0" w:line="169" w:lineRule="exact"/>
        <w:rPr>
          <w:rFonts w:ascii="Times New Roman" w:cs="Times New Roman" w:eastAsia="Times New Roman" w:hAnsi="Times New Roman"/>
          <w:sz w:val="17"/>
          <w:szCs w:val="17"/>
          <w:b w:val="1"/>
          <w:bCs w:val="1"/>
          <w:color w:val="auto"/>
        </w:rPr>
      </w:pPr>
    </w:p>
    <w:p>
      <w:pPr>
        <w:ind w:left="940" w:right="1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third quarter was $612.9 million, or $2.01 per share,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net income of $207.1 million, or $0.66 per share, in the third quarter of fiscal year 2025. Non-GAAP net income for the third quarter, which adjusts for stock-based compensation expense and related payroll taxes, gains on strategic investments, net, acquisition-related expenses, litigation settlements, net, and the tax effects on non-GAAP adjustments, was $462.8 million, or $1.52 per share. In the third quarter of fiscal year 2025, non-GAAP net income was $435.1 million, or $1.38 per share.</w:t>
      </w:r>
    </w:p>
    <w:p>
      <w:pPr>
        <w:spacing w:after="0" w:line="169" w:lineRule="exact"/>
        <w:rPr>
          <w:rFonts w:ascii="Times New Roman" w:cs="Times New Roman" w:eastAsia="Times New Roman" w:hAnsi="Times New Roman"/>
          <w:sz w:val="17"/>
          <w:szCs w:val="17"/>
          <w:b w:val="1"/>
          <w:bCs w:val="1"/>
          <w:color w:val="auto"/>
        </w:rPr>
      </w:pPr>
    </w:p>
    <w:p>
      <w:pPr>
        <w:ind w:left="940" w:right="32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October 31, 2025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$7.9 billion.</w:t>
      </w:r>
    </w:p>
    <w:p>
      <w:pPr>
        <w:spacing w:after="0" w:line="39" w:lineRule="exact"/>
        <w:rPr>
          <w:rFonts w:ascii="Times New Roman" w:cs="Times New Roman" w:eastAsia="Times New Roman" w:hAnsi="Times New Roman"/>
          <w:sz w:val="17"/>
          <w:szCs w:val="17"/>
          <w:b w:val="1"/>
          <w:bCs w:val="1"/>
          <w:color w:val="auto"/>
        </w:rPr>
      </w:pPr>
    </w:p>
    <w:p>
      <w:pPr>
        <w:jc w:val="both"/>
        <w:ind w:left="940" w:right="26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$629.3 million for the third quarter, compared to $483.2 million in the third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2025. Free cash flow, which is net cash provided by operating activities less purchases of property and equipment, was $614.3 million, compared to $457.7 million in the third quarter of fiscal year 2025.</w:t>
      </w:r>
    </w:p>
    <w:p>
      <w:pPr>
        <w:sectPr>
          <w:pgSz w:w="11900" w:h="16838" w:orient="portrait"/>
          <w:cols w:equalWidth="0" w:num="1">
            <w:col w:w="11240"/>
          </w:cols>
          <w:pgMar w:left="320" w:top="10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third quarter of fiscal year 2026, Zoom had:</w:t>
      </w:r>
    </w:p>
    <w:p>
      <w:pPr>
        <w:spacing w:after="0" w:line="132"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4,363 customers contributing more than $100,000 in trailing 12 months revenue, up 9.2% from the same quarter last fiscal year.</w:t>
      </w:r>
    </w:p>
    <w:p>
      <w:pPr>
        <w:spacing w:after="0" w:line="104" w:lineRule="exact"/>
        <w:rPr>
          <w:rFonts w:ascii="Times New Roman" w:cs="Times New Roman" w:eastAsia="Times New Roman" w:hAnsi="Times New Roman"/>
          <w:sz w:val="19"/>
          <w:szCs w:val="19"/>
          <w:b w:val="1"/>
          <w:bCs w:val="1"/>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98%.</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2.7% for the third quarter, flat year over year.</w:t>
      </w:r>
    </w:p>
    <w:p>
      <w:pPr>
        <w:spacing w:after="0" w:line="114" w:lineRule="exact"/>
        <w:rPr>
          <w:rFonts w:ascii="Times New Roman" w:cs="Times New Roman" w:eastAsia="Times New Roman" w:hAnsi="Times New Roman"/>
          <w:sz w:val="17"/>
          <w:szCs w:val="17"/>
          <w:color w:val="auto"/>
        </w:rPr>
      </w:pPr>
    </w:p>
    <w:p>
      <w:pPr>
        <w:ind w:left="940" w:right="140" w:hanging="316"/>
        <w:spacing w:after="0" w:line="288"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74.4%, up 30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fourth quarter of fiscal year 2026 and updating its guidance for full fiscal year 2026.</w:t>
      </w:r>
    </w:p>
    <w:p>
      <w:pPr>
        <w:spacing w:after="0" w:line="119" w:lineRule="exact"/>
        <w:rPr>
          <w:sz w:val="20"/>
          <w:szCs w:val="20"/>
          <w:color w:val="auto"/>
        </w:rPr>
      </w:pPr>
    </w:p>
    <w:p>
      <w:pPr>
        <w:ind w:left="940" w:right="40" w:hanging="316"/>
        <w:spacing w:after="0" w:line="270"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Fourth Quarter Fiscal Year 2026: Total revenue is expected to be between $1.230 billion and $1.235 billion and revenue in constant currency is expected to be between $1.224 billion and $1.229 billion. Non-GAAP income from operations is expected to be between $477.0 million and $482.0 million. Non-GAAP diluted EPS is expected to be between $1.48 and $1.49 with approximately 305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ind w:left="940" w:right="40" w:hanging="316"/>
        <w:spacing w:after="0" w:line="265"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2026: Total revenue is expected to be between $4.852 billion and $4.857 billion and revenue in constant currency is expected to be between $4.844 billion and $4.849 billion. Non-GAAP income from operations is expected to be between $1.955 billion and $1.960 billion. Non-GAAP diluted EPS is expected to be between $5.95 and $5.97 with approximately 308 million weighted average shares outstanding. Full fiscal year free cash flow is expected to be between $1.860 billion and $1.880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the impact from the share repurchase authorization discussed below.</w:t>
      </w:r>
    </w:p>
    <w:p>
      <w:pPr>
        <w:spacing w:after="0" w:line="21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Stock Repurchase Authorization: </w:t>
      </w:r>
      <w:r>
        <w:rPr>
          <w:rFonts w:ascii="Times New Roman" w:cs="Times New Roman" w:eastAsia="Times New Roman" w:hAnsi="Times New Roman"/>
          <w:sz w:val="17"/>
          <w:szCs w:val="17"/>
          <w:color w:val="auto"/>
        </w:rPr>
        <w:t>In November 2025, Zoom’s Board of Directors authorized the repurchase of an additional $1.0 billion of Zoom’s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A common stock, incremental to the $310.4 million remaining authorization as of October 31, 2025.</w:t>
      </w:r>
    </w:p>
    <w:p>
      <w:pPr>
        <w:spacing w:after="0" w:line="173"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Repurchases of Zoom’s Class A common stock may be effected, from time to time, either on the open market (including pre-set trading plans), in privately negotiated transactions, and other transactions in accordance with applicable securities laws.</w:t>
      </w:r>
    </w:p>
    <w:p>
      <w:pPr>
        <w:spacing w:after="0" w:line="17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timing and the amount of any repurchased Class A common stock will be determined by Zoom's management based on its evaluation of market conditions and other factors. The repurchase program will be funded using Zoom's working capital. Any repurchased shares of Class A common stock will be retired. The repurchase program does not obligate Zoom to acquire any particular amount of Class A common stock, and the repurchase program may be suspended or discontinued at any time at Zoom’s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November 24, 2025 at 2:00 p.m. Pacific Time / 5:00 p.m. Eastern Time to discuss the company’s financial results, business highlights and financial outlook. Investors are invited to join the Zoom Video Webinar by visiting: https://investors.zoom.com/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Zoom (NASDAQ:ZM) provides the AI-first, open work platform built for human connection and purposefully designed to move conversations to completion. From entrepreneurs to global enterprises, customers choose Zoom to seamlessly collaborate, communicate, and drive outcomes across meetings, chat, phone, contact center, events, and more — all with the built-in</w:t>
      </w:r>
    </w:p>
    <w:p>
      <w:pPr>
        <w:sectPr>
          <w:pgSz w:w="11900" w:h="16838" w:orient="portrait"/>
          <w:cols w:equalWidth="0" w:num="1">
            <w:col w:w="11180"/>
          </w:cols>
          <w:pgMar w:left="320" w:top="106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assistance of Zoom AI Companion. Founded in 2011, Zoom is headquartered in San Jose, CA. For more information, visit zoom.com.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fourth quarter of fiscal year 2026 and full fiscal year 2026, Zoom’s market position, opportunities, and growth strategy, product initiatives, including future product and feature releases,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the pace of development, adoption, or performance of our AI capabilities, competition from other providers of communications platforms, the effect of macroeconomic conditions on our business, including geopolitical tensions, tariffs and escalating trade tensions, interest rate fluctuations, inflationary pressures and market and foreign currency exchange rate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July 31, 2025.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ectPr>
          <w:pgSz w:w="11900" w:h="16838" w:orient="portrait"/>
          <w:cols w:equalWidth="0" w:num="1">
            <w:col w:w="11240"/>
          </w:cols>
          <w:pgMar w:left="320" w:top="963" w:right="339" w:bottom="1440" w:gutter="0" w:footer="0" w:header="0"/>
        </w:sectPr>
      </w:pPr>
    </w:p>
    <w:bookmarkStart w:id="6" w:name="page7"/>
    <w:bookmarkEnd w:id="6"/>
    <w:p>
      <w:pPr>
        <w:spacing w:after="0" w:line="260"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as GAAP net income adjusted to exclude stock-based compensation expense and related payroll taxes, acquisition-related expenses, gains/losses on strategic investments, net, litigation settlements,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pacing w:after="0" w:line="28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1,349,380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6,727,428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6,442,329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495,228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188,358</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200,679</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8,714,967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8,675,974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123,464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330,475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55,900</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591,481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749,759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11,390,811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558,562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1,431,802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1,336,387</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1,903,294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95,363</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2,103,971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2,053,337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4,250,595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5,130,271</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5,025,586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3,799,518</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9,286,840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8,935,084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11,390,811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$90.8 million and $118.5 million as of October 31, 2025 and January 31, 2025,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5"/>
                <w:szCs w:val="15"/>
                <w:color w:val="auto"/>
              </w:rPr>
            </w:pPr>
          </w:p>
        </w:tc>
        <w:tc>
          <w:tcPr>
            <w:tcW w:w="26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1,177,541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3,481,295</w:t>
            </w:r>
          </w:p>
        </w:tc>
      </w:tr>
      <w:tr>
        <w:trPr>
          <w:trHeight w:val="22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283,881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823,337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842,272</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958,065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893,660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2,798,440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2,639,023</w:t>
            </w:r>
          </w:p>
        </w:tc>
      </w:tr>
      <w:tr>
        <w:trPr>
          <w:trHeight w:val="20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635,294</w:t>
            </w:r>
          </w:p>
        </w:tc>
      </w:tr>
      <w:tr>
        <w:trPr>
          <w:trHeight w:val="220"/>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1,028,779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1,068,481</w:t>
            </w:r>
          </w:p>
        </w:tc>
      </w:tr>
      <w:tr>
        <w:trPr>
          <w:trHeight w:val="22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347,016</w:t>
            </w:r>
          </w:p>
        </w:tc>
      </w:tr>
      <w:tr>
        <w:trPr>
          <w:trHeight w:val="213"/>
        </w:trPr>
        <w:tc>
          <w:tcPr>
            <w:tcW w:w="5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647,651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710,820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1,924,699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2,050,791</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873,741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588,232</w:t>
            </w: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26,785</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250,248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794,709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865,265</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222,892</w:t>
            </w:r>
          </w:p>
        </w:tc>
      </w:tr>
      <w:tr>
        <w:trPr>
          <w:trHeight w:val="187"/>
        </w:trPr>
        <w:tc>
          <w:tcPr>
            <w:tcW w:w="516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612,873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207,050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1,226,068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642,373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1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51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298,660,092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307,529,696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301,807,298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308,443,893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305,024,411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314,191,269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308,702,227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314,514,244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85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5"/>
                <w:szCs w:val="15"/>
                <w:color w:val="auto"/>
              </w:rPr>
            </w:pPr>
          </w:p>
        </w:tc>
        <w:tc>
          <w:tcPr>
            <w:tcW w:w="270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612,873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207,050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1,226,068</w:t>
            </w:r>
          </w:p>
        </w:tc>
        <w:tc>
          <w:tcPr>
            <w:tcW w:w="1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642,373</w:t>
            </w:r>
          </w:p>
        </w:tc>
        <w:tc>
          <w:tcPr>
            <w:tcW w:w="0" w:type="dxa"/>
            <w:vAlign w:val="bottom"/>
          </w:tcPr>
          <w:p>
            <w:pPr>
              <w:spacing w:after="0"/>
              <w:rPr>
                <w:sz w:val="1"/>
                <w:szCs w:val="1"/>
                <w:color w:val="auto"/>
              </w:rPr>
            </w:pPr>
          </w:p>
        </w:tc>
      </w:tr>
      <w:tr>
        <w:trPr>
          <w:trHeight w:val="159"/>
        </w:trPr>
        <w:tc>
          <w:tcPr>
            <w:tcW w:w="5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708,370</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211,040</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88,041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(72,135)</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on strategic investments, net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17,039</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4,801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17,861</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3,418</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74,272</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(166,795)</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106,248</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0" w:type="dxa"/>
            <w:vAlign w:val="bottom"/>
          </w:tcPr>
          <w:p>
            <w:pPr>
              <w:spacing w:after="0"/>
              <w:rPr>
                <w:sz w:val="1"/>
                <w:szCs w:val="1"/>
                <w:color w:val="auto"/>
              </w:rPr>
            </w:pPr>
          </w:p>
        </w:tc>
      </w:tr>
      <w:tr>
        <w:trPr>
          <w:trHeight w:val="197"/>
        </w:trPr>
        <w:tc>
          <w:tcPr>
            <w:tcW w:w="5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1,634,527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1,520,742</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(1,520,851)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(3,352,960)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(3,702,166)</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3,078,276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2,690,418</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(128,226)</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4,854</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(452,404)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(330,171)</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(1,101,138)</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3,752</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Proceeds from issuance of common stock for employee stock purchase plan</w:t>
            </w: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34,263</w:t>
            </w:r>
          </w:p>
        </w:tc>
        <w:tc>
          <w:tcPr>
            <w:tcW w:w="0" w:type="dxa"/>
            <w:vAlign w:val="bottom"/>
          </w:tcPr>
          <w:p>
            <w:pPr>
              <w:spacing w:after="0"/>
              <w:rPr>
                <w:sz w:val="1"/>
                <w:szCs w:val="1"/>
                <w:color w:val="auto"/>
              </w:rPr>
            </w:pPr>
          </w:p>
        </w:tc>
      </w:tr>
      <w:tr>
        <w:trPr>
          <w:trHeight w:val="159"/>
        </w:trPr>
        <w:tc>
          <w:tcPr>
            <w:tcW w:w="506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Proceeds from employee equity transactions to be remitted (remitted) to</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employees and tax authorities, net</w:t>
            </w: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 including excise taxes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(739,311)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(466,055)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(300,390)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(1,451,447)</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(699,106)</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(282,522)</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1,208,699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1,549,309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1,565,380</w:t>
            </w: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1,227,588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1,282,858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1,227,588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1,282,858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50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5"/>
                <w:szCs w:val="15"/>
                <w:color w:val="auto"/>
              </w:rPr>
            </w:pPr>
          </w:p>
        </w:tc>
        <w:tc>
          <w:tcPr>
            <w:tcW w:w="2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310,414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182,840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873,741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588,232</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192,465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246,764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604,977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733,749</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16,250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4,071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16,784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31,702</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506,950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457,794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1,477,502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1,369,933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612,873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207,050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1,226,068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642,373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192,465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246,764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604,977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733,749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16,250</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28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(406,060)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(437,497)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(26,785)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16,784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31,702</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59,479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(40,614)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(9,892)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(99,484)</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462,828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435,066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1,382,440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1,297,805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4.21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per share - 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298,660,092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307,529,696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301,807,298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308,443,893</w:t>
            </w:r>
          </w:p>
        </w:tc>
        <w:tc>
          <w:tcPr>
            <w:tcW w:w="0" w:type="dxa"/>
            <w:vAlign w:val="bottom"/>
          </w:tcPr>
          <w:p>
            <w:pPr>
              <w:spacing w:after="0"/>
              <w:rPr>
                <w:sz w:val="1"/>
                <w:szCs w:val="1"/>
                <w:color w:val="auto"/>
              </w:rPr>
            </w:pPr>
          </w:p>
        </w:tc>
      </w:tr>
      <w:tr>
        <w:trPr>
          <w:trHeight w:val="177"/>
        </w:trPr>
        <w:tc>
          <w:tcPr>
            <w:tcW w:w="48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per share - diluted</w:t>
            </w:r>
          </w:p>
        </w:tc>
        <w:tc>
          <w:tcPr>
            <w:tcW w:w="2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305,024,411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314,191,269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308,702,227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314,514,244</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629,326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483,217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1,634,527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1,520,742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(15,009)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(25,484)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(48,885)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(128,226)</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614,317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457,733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1,585,642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1,392,516</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(144,368)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(452,404)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(330,171)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(1,101,138)</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(466,055)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(300,390)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(1,451,447)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(699,106)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43.7 %</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0"/>
                <w:szCs w:val="10"/>
                <w:color w:val="auto"/>
              </w:rPr>
            </w:pPr>
          </w:p>
        </w:tc>
        <w:tc>
          <w:tcPr>
            <w:tcW w:w="1400" w:type="dxa"/>
            <w:vAlign w:val="bottom"/>
          </w:tcPr>
          <w:p>
            <w:pPr>
              <w:jc w:val="right"/>
              <w:ind w:right="15"/>
              <w:spacing w:after="0" w:line="124"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0"/>
                <w:szCs w:val="10"/>
                <w:color w:val="auto"/>
              </w:rPr>
            </w:pPr>
          </w:p>
        </w:tc>
        <w:tc>
          <w:tcPr>
            <w:tcW w:w="142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1,229,835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3,621,777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(2,419)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(1,290)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1,227,416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3,620,487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6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2025-11-24T15:23:19Z</dcterms:created>
  <dcterms:modified xsi:type="dcterms:W3CDTF">2025-11-24T15:23:19Z</dcterms:modified>
</cp:coreProperties>
</file>