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064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6476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Hammonds Kimberly</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60"/>
        <w:spacing w:after="0" w:line="361" w:lineRule="auto"/>
        <w:rPr>
          <w:sz w:val="20"/>
          <w:szCs w:val="20"/>
          <w:color w:val="auto"/>
        </w:rPr>
      </w:pPr>
      <w:r>
        <w:rPr>
          <w:rFonts w:ascii="Arial" w:cs="Arial" w:eastAsia="Arial" w:hAnsi="Arial"/>
          <w:sz w:val="17"/>
          <w:szCs w:val="17"/>
          <w:color w:val="0000FF"/>
        </w:rPr>
        <w:t>C/O ZOOM VIDEO COMMUNICATIONS, INC. 55 ALMADEN BOULEVARD, 6TH FLOOR</w:t>
      </w:r>
    </w:p>
    <w:p>
      <w:pPr>
        <w:spacing w:after="0" w:line="18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SAN JOSE</w:t>
            </w:r>
          </w:p>
        </w:tc>
        <w:tc>
          <w:tcPr>
            <w:tcW w:w="1060" w:type="dxa"/>
            <w:vAlign w:val="bottom"/>
          </w:tcPr>
          <w:p>
            <w:pPr>
              <w:ind w:left="2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6"/>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4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2"/>
        </w:trPr>
        <w:tc>
          <w:tcPr>
            <w:tcW w:w="3960" w:type="dxa"/>
            <w:vAlign w:val="bottom"/>
            <w:gridSpan w:val="4"/>
          </w:tcPr>
          <w:p>
            <w:pPr>
              <w:ind w:left="6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94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4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4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tcPr>
          <w:p>
            <w:pPr>
              <w:ind w:left="420"/>
              <w:spacing w:after="0" w:line="127" w:lineRule="exact"/>
              <w:rPr>
                <w:sz w:val="20"/>
                <w:szCs w:val="20"/>
                <w:color w:val="auto"/>
              </w:rPr>
            </w:pPr>
            <w:r>
              <w:rPr>
                <w:rFonts w:ascii="Arial" w:cs="Arial" w:eastAsia="Arial" w:hAnsi="Arial"/>
                <w:sz w:val="13"/>
                <w:szCs w:val="13"/>
                <w:color w:val="auto"/>
              </w:rPr>
              <w:t>below)</w:t>
            </w:r>
          </w:p>
        </w:tc>
        <w:tc>
          <w:tcPr>
            <w:tcW w:w="150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2"/>
        </w:trPr>
        <w:tc>
          <w:tcPr>
            <w:tcW w:w="3100" w:type="dxa"/>
            <w:vAlign w:val="bottom"/>
            <w:gridSpan w:val="3"/>
          </w:tcPr>
          <w:p>
            <w:pPr>
              <w:ind w:left="60"/>
              <w:spacing w:after="0"/>
              <w:rPr>
                <w:sz w:val="20"/>
                <w:szCs w:val="20"/>
                <w:color w:val="auto"/>
              </w:rPr>
            </w:pPr>
            <w:r>
              <w:rPr>
                <w:rFonts w:ascii="Arial" w:cs="Arial" w:eastAsia="Arial" w:hAnsi="Arial"/>
                <w:sz w:val="17"/>
                <w:szCs w:val="17"/>
                <w:color w:val="0000FF"/>
              </w:rPr>
              <w:t>09/30/2019</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4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36" w:lineRule="auto"/>
        <w:tabs>
          <w:tab w:leader="none" w:pos="45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Form filed by More than One Reporting</w:t>
      </w:r>
    </w:p>
    <w:p>
      <w:pPr>
        <w:ind w:left="458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900" w:space="10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09/30/2019</w:t>
            </w:r>
          </w:p>
        </w:tc>
        <w:tc>
          <w:tcPr>
            <w:tcW w:w="9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8"/>
              </w:rPr>
              <w:t>16,797</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16,797</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0"/>
          </w:tcPr>
          <w:p>
            <w:pPr>
              <w:jc w:val="right"/>
              <w:ind w:right="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w:t>
            </w:r>
          </w:p>
        </w:tc>
        <w:tc>
          <w:tcPr>
            <w:tcW w:w="96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80" w:type="dxa"/>
            <w:vAlign w:val="bottom"/>
          </w:tcPr>
          <w:p>
            <w:pPr>
              <w:spacing w:after="0"/>
              <w:rPr>
                <w:sz w:val="16"/>
                <w:szCs w:val="16"/>
                <w:color w:val="auto"/>
              </w:rPr>
            </w:pPr>
          </w:p>
        </w:tc>
        <w:tc>
          <w:tcPr>
            <w:tcW w:w="620" w:type="dxa"/>
            <w:vAlign w:val="bottom"/>
          </w:tcPr>
          <w:p>
            <w:pPr>
              <w:jc w:val="center"/>
              <w:ind w:right="92"/>
              <w:spacing w:after="0"/>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16,797</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right"/>
              <w:ind w:right="138"/>
              <w:spacing w:after="0" w:line="148" w:lineRule="exact"/>
              <w:rPr>
                <w:sz w:val="20"/>
                <w:szCs w:val="20"/>
                <w:color w:val="auto"/>
              </w:rPr>
            </w:pPr>
            <w:r>
              <w:rPr>
                <w:rFonts w:ascii="Arial" w:cs="Arial" w:eastAsia="Arial" w:hAnsi="Arial"/>
                <w:sz w:val="13"/>
                <w:szCs w:val="13"/>
                <w:color w:val="0000FF"/>
              </w:rPr>
              <w:t>09/30/2019</w:t>
            </w:r>
          </w:p>
        </w:tc>
        <w:tc>
          <w:tcPr>
            <w:tcW w:w="1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960" w:type="dxa"/>
            <w:vAlign w:val="bottom"/>
          </w:tcPr>
          <w:p>
            <w:pPr>
              <w:ind w:left="480"/>
              <w:spacing w:after="0" w:line="148" w:lineRule="exact"/>
              <w:rPr>
                <w:sz w:val="20"/>
                <w:szCs w:val="20"/>
                <w:color w:val="auto"/>
              </w:rPr>
            </w:pPr>
            <w:r>
              <w:rPr>
                <w:rFonts w:ascii="Arial" w:cs="Arial" w:eastAsia="Arial" w:hAnsi="Arial"/>
                <w:sz w:val="13"/>
                <w:szCs w:val="13"/>
                <w:color w:val="0000FF"/>
              </w:rPr>
              <w:t>16,797</w:t>
            </w: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0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780" w:type="dxa"/>
            <w:vAlign w:val="bottom"/>
            <w:gridSpan w:val="2"/>
          </w:tcPr>
          <w:p>
            <w:pPr>
              <w:ind w:left="28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380"/>
              <w:spacing w:after="0" w:line="14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right="92"/>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8"/>
        <w:spacing w:after="0" w:line="286"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the voluntary conversion of Class B Common Stock into Class A Common Stock. No shares have been sold by the Reporting Person and the shares remain subject to a Lock-Up Agreement for a period of 180 days following the date of the Final Prospectus relating to the initial public offering of Class A Common Stock of the Issuer pursuant to a Registration Statement filed by the Issuer with the Securities and Exchange Commission. The terms of the Lock-Up Agreement permit the conversion of Class B Common Stock into Class A Common Stock by the Reporting Person during the lock-up period.</w:t>
      </w:r>
    </w:p>
    <w:p>
      <w:pPr>
        <w:spacing w:after="0" w:line="3" w:lineRule="exact"/>
        <w:rPr>
          <w:rFonts w:ascii="Arial" w:cs="Arial" w:eastAsia="Arial" w:hAnsi="Arial"/>
          <w:sz w:val="12"/>
          <w:szCs w:val="12"/>
          <w:color w:val="008000"/>
        </w:rPr>
      </w:pPr>
    </w:p>
    <w:p>
      <w:pPr>
        <w:ind w:left="40" w:right="200" w:firstLine="8"/>
        <w:spacing w:after="0" w:line="246"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IPO.</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Aparna Bawa, Attorney-in-</w:t>
            </w:r>
          </w:p>
        </w:tc>
        <w:tc>
          <w:tcPr>
            <w:tcW w:w="16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10/02/2019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0280"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2019-12-24T08:32:51Z</dcterms:created>
  <dcterms:modified xsi:type="dcterms:W3CDTF">2019-12-24T08:32:51Z</dcterms:modified>
</cp:coreProperties>
</file>