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April 16, 2019.</w:t>
      </w:r>
    </w:p>
    <w:p>
      <w:pPr>
        <w:spacing w:after="0" w:line="4"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333-230444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2 TO</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S-1</w:t>
      </w:r>
    </w:p>
    <w:p>
      <w:pPr>
        <w:jc w:val="center"/>
        <w:ind w:right="-179"/>
        <w:spacing w:after="0" w:line="235" w:lineRule="auto"/>
        <w:rPr>
          <w:sz w:val="20"/>
          <w:szCs w:val="20"/>
          <w:color w:val="auto"/>
        </w:rPr>
      </w:pPr>
      <w:r>
        <w:rPr>
          <w:rFonts w:ascii="Arial" w:cs="Arial" w:eastAsia="Arial" w:hAnsi="Arial"/>
          <w:sz w:val="22"/>
          <w:szCs w:val="22"/>
          <w:b w:val="1"/>
          <w:bCs w:val="1"/>
          <w:color w:val="auto"/>
        </w:rPr>
        <w:t>REGISTRATION STATEMENT</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ZOOM VIDEO COMMUNICATIONS,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82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7370</w:t>
            </w:r>
          </w:p>
        </w:tc>
        <w:tc>
          <w:tcPr>
            <w:tcW w:w="2440" w:type="dxa"/>
            <w:vAlign w:val="bottom"/>
          </w:tcPr>
          <w:p>
            <w:pPr>
              <w:jc w:val="center"/>
              <w:ind w:left="928"/>
              <w:spacing w:after="0"/>
              <w:rPr>
                <w:sz w:val="20"/>
                <w:szCs w:val="20"/>
                <w:color w:val="auto"/>
              </w:rPr>
            </w:pPr>
            <w:r>
              <w:rPr>
                <w:rFonts w:ascii="Arial" w:cs="Arial" w:eastAsia="Arial" w:hAnsi="Arial"/>
                <w:sz w:val="14"/>
                <w:szCs w:val="14"/>
                <w:b w:val="1"/>
                <w:bCs w:val="1"/>
                <w:color w:val="auto"/>
                <w:w w:val="90"/>
              </w:rPr>
              <w:t>61-1648780</w:t>
            </w:r>
          </w:p>
        </w:tc>
      </w:tr>
      <w:tr>
        <w:trPr>
          <w:trHeight w:val="149"/>
        </w:trPr>
        <w:tc>
          <w:tcPr>
            <w:tcW w:w="282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4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40" w:type="dxa"/>
            <w:vAlign w:val="bottom"/>
          </w:tcPr>
          <w:p>
            <w:pPr>
              <w:jc w:val="center"/>
              <w:ind w:left="92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jc w:val="center"/>
        <w:ind w:right="-179"/>
        <w:spacing w:after="0" w:line="226" w:lineRule="auto"/>
        <w:rPr>
          <w:sz w:val="20"/>
          <w:szCs w:val="20"/>
          <w:color w:val="auto"/>
        </w:rPr>
      </w:pPr>
      <w:r>
        <w:rPr>
          <w:rFonts w:ascii="Arial" w:cs="Arial" w:eastAsia="Arial" w:hAnsi="Arial"/>
          <w:sz w:val="14"/>
          <w:szCs w:val="14"/>
          <w:b w:val="1"/>
          <w:bCs w:val="1"/>
          <w:color w:val="auto"/>
        </w:rPr>
        <w:t>San Jose, California 95113</w:t>
      </w:r>
    </w:p>
    <w:p>
      <w:pPr>
        <w:jc w:val="center"/>
        <w:ind w:right="-179"/>
        <w:spacing w:after="0" w:line="222" w:lineRule="auto"/>
        <w:rPr>
          <w:sz w:val="20"/>
          <w:szCs w:val="20"/>
          <w:color w:val="auto"/>
        </w:rPr>
      </w:pPr>
      <w:r>
        <w:rPr>
          <w:rFonts w:ascii="Arial" w:cs="Arial" w:eastAsia="Arial" w:hAnsi="Arial"/>
          <w:sz w:val="14"/>
          <w:szCs w:val="14"/>
          <w:b w:val="1"/>
          <w:bCs w:val="1"/>
          <w:color w:val="auto"/>
        </w:rPr>
        <w:t>(888) 799-9666</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Eric S. Yuan</w:t>
      </w:r>
    </w:p>
    <w:p>
      <w:pPr>
        <w:jc w:val="center"/>
        <w:ind w:right="-17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Zoom Video Communications, Inc.</w:t>
      </w:r>
    </w:p>
    <w:p>
      <w:pPr>
        <w:jc w:val="center"/>
        <w:ind w:right="-179"/>
        <w:spacing w:after="0" w:line="221" w:lineRule="auto"/>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jc w:val="center"/>
        <w:ind w:right="-179"/>
        <w:spacing w:after="0" w:line="222" w:lineRule="auto"/>
        <w:rPr>
          <w:sz w:val="20"/>
          <w:szCs w:val="20"/>
          <w:color w:val="auto"/>
        </w:rPr>
      </w:pPr>
      <w:r>
        <w:rPr>
          <w:rFonts w:ascii="Arial" w:cs="Arial" w:eastAsia="Arial" w:hAnsi="Arial"/>
          <w:sz w:val="14"/>
          <w:szCs w:val="14"/>
          <w:b w:val="1"/>
          <w:bCs w:val="1"/>
          <w:color w:val="auto"/>
        </w:rPr>
        <w:t>San Jose, California 95113</w:t>
      </w:r>
    </w:p>
    <w:p>
      <w:pPr>
        <w:jc w:val="center"/>
        <w:ind w:right="-179"/>
        <w:spacing w:after="0" w:line="221" w:lineRule="auto"/>
        <w:rPr>
          <w:sz w:val="20"/>
          <w:szCs w:val="20"/>
          <w:color w:val="auto"/>
        </w:rPr>
      </w:pPr>
      <w:r>
        <w:rPr>
          <w:rFonts w:ascii="Arial" w:cs="Arial" w:eastAsia="Arial" w:hAnsi="Arial"/>
          <w:sz w:val="14"/>
          <w:szCs w:val="14"/>
          <w:b w:val="1"/>
          <w:bCs w:val="1"/>
          <w:color w:val="auto"/>
        </w:rPr>
        <w:t>(888) 799-9666</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240" w:type="dxa"/>
        <w:tblCellMar>
          <w:top w:w="0" w:type="dxa"/>
          <w:left w:w="0" w:type="dxa"/>
          <w:bottom w:w="0" w:type="dxa"/>
          <w:right w:w="0" w:type="dxa"/>
        </w:tblCellMar>
      </w:tblPr>
      <w:tr>
        <w:trPr>
          <w:trHeight w:val="182"/>
        </w:trPr>
        <w:tc>
          <w:tcPr>
            <w:tcW w:w="2620" w:type="dxa"/>
            <w:vAlign w:val="bottom"/>
          </w:tcPr>
          <w:p>
            <w:pPr>
              <w:spacing w:after="0"/>
              <w:rPr>
                <w:sz w:val="15"/>
                <w:szCs w:val="15"/>
                <w:color w:val="auto"/>
              </w:rPr>
            </w:pPr>
          </w:p>
        </w:tc>
        <w:tc>
          <w:tcPr>
            <w:tcW w:w="3680" w:type="dxa"/>
            <w:vAlign w:val="bottom"/>
          </w:tcPr>
          <w:p>
            <w:pPr>
              <w:ind w:left="1560"/>
              <w:spacing w:after="0"/>
              <w:rPr>
                <w:sz w:val="20"/>
                <w:szCs w:val="20"/>
                <w:color w:val="auto"/>
              </w:rPr>
            </w:pPr>
            <w:r>
              <w:rPr>
                <w:rFonts w:ascii="Arial" w:cs="Arial" w:eastAsia="Arial" w:hAnsi="Arial"/>
                <w:sz w:val="14"/>
                <w:szCs w:val="14"/>
                <w:b w:val="1"/>
                <w:bCs w:val="1"/>
                <w:i w:val="1"/>
                <w:iCs w:val="1"/>
                <w:color w:val="auto"/>
              </w:rPr>
              <w:t>Copies to:</w:t>
            </w:r>
          </w:p>
        </w:tc>
        <w:tc>
          <w:tcPr>
            <w:tcW w:w="3140" w:type="dxa"/>
            <w:vAlign w:val="bottom"/>
          </w:tcPr>
          <w:p>
            <w:pPr>
              <w:spacing w:after="0"/>
              <w:rPr>
                <w:sz w:val="15"/>
                <w:szCs w:val="15"/>
                <w:color w:val="auto"/>
              </w:rPr>
            </w:pPr>
          </w:p>
        </w:tc>
      </w:tr>
      <w:tr>
        <w:trPr>
          <w:trHeight w:val="354"/>
        </w:trPr>
        <w:tc>
          <w:tcPr>
            <w:tcW w:w="262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Jon C. Avina</w:t>
            </w:r>
          </w:p>
        </w:tc>
        <w:tc>
          <w:tcPr>
            <w:tcW w:w="3680" w:type="dxa"/>
            <w:vAlign w:val="bottom"/>
          </w:tcPr>
          <w:p>
            <w:pPr>
              <w:jc w:val="center"/>
              <w:ind w:left="188"/>
              <w:spacing w:after="0"/>
              <w:rPr>
                <w:sz w:val="20"/>
                <w:szCs w:val="20"/>
                <w:color w:val="auto"/>
              </w:rPr>
            </w:pPr>
            <w:r>
              <w:rPr>
                <w:rFonts w:ascii="Arial" w:cs="Arial" w:eastAsia="Arial" w:hAnsi="Arial"/>
                <w:sz w:val="14"/>
                <w:szCs w:val="14"/>
                <w:b w:val="1"/>
                <w:bCs w:val="1"/>
                <w:color w:val="auto"/>
                <w:w w:val="96"/>
              </w:rPr>
              <w:t>Aparna Bawa</w:t>
            </w:r>
          </w:p>
        </w:tc>
        <w:tc>
          <w:tcPr>
            <w:tcW w:w="3140" w:type="dxa"/>
            <w:vAlign w:val="bottom"/>
          </w:tcPr>
          <w:p>
            <w:pPr>
              <w:jc w:val="center"/>
              <w:ind w:left="628"/>
              <w:spacing w:after="0"/>
              <w:rPr>
                <w:sz w:val="20"/>
                <w:szCs w:val="20"/>
                <w:color w:val="auto"/>
              </w:rPr>
            </w:pPr>
            <w:r>
              <w:rPr>
                <w:rFonts w:ascii="Arial" w:cs="Arial" w:eastAsia="Arial" w:hAnsi="Arial"/>
                <w:sz w:val="14"/>
                <w:szCs w:val="14"/>
                <w:b w:val="1"/>
                <w:bCs w:val="1"/>
                <w:color w:val="auto"/>
                <w:w w:val="92"/>
              </w:rPr>
              <w:t>Allison B. Spinner</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2"/>
              </w:rPr>
              <w:t>Calise Y. Cheng</w:t>
            </w:r>
          </w:p>
        </w:tc>
        <w:tc>
          <w:tcPr>
            <w:tcW w:w="3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2"/>
              </w:rPr>
              <w:t>Shannon R. Delahaye</w:t>
            </w:r>
          </w:p>
        </w:tc>
      </w:tr>
      <w:tr>
        <w:trPr>
          <w:trHeight w:val="149"/>
        </w:trPr>
        <w:tc>
          <w:tcPr>
            <w:tcW w:w="262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9"/>
              </w:rPr>
              <w:t>Bradley M. Libuit</w:t>
            </w:r>
          </w:p>
        </w:tc>
        <w:tc>
          <w:tcPr>
            <w:tcW w:w="36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55 Almaden Boulevard, 6</w:t>
            </w:r>
            <w:r>
              <w:rPr>
                <w:rFonts w:ascii="Arial" w:cs="Arial" w:eastAsia="Arial" w:hAnsi="Arial"/>
                <w:sz w:val="12"/>
                <w:szCs w:val="12"/>
                <w:b w:val="1"/>
                <w:bCs w:val="1"/>
                <w:color w:val="auto"/>
                <w:w w:val="94"/>
              </w:rPr>
              <w:t>th</w:t>
            </w:r>
            <w:r>
              <w:rPr>
                <w:rFonts w:ascii="Arial" w:cs="Arial" w:eastAsia="Arial" w:hAnsi="Arial"/>
                <w:sz w:val="14"/>
                <w:szCs w:val="14"/>
                <w:b w:val="1"/>
                <w:bCs w:val="1"/>
                <w:color w:val="auto"/>
                <w:w w:val="94"/>
              </w:rPr>
              <w:t xml:space="preserve"> Floor</w:t>
            </w:r>
          </w:p>
        </w:tc>
        <w:tc>
          <w:tcPr>
            <w:tcW w:w="314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2"/>
              </w:rPr>
              <w:t>Catherine D. Doxsee</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Alex K. Kassai</w:t>
            </w:r>
          </w:p>
        </w:tc>
        <w:tc>
          <w:tcPr>
            <w:tcW w:w="3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San Jose, California 95113</w:t>
            </w: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3"/>
              </w:rPr>
              <w:t>Wilson Sonsini Goodrich &amp; Rosati, P.C.</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(888) 799-9666</w:t>
            </w: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4"/>
              </w:rPr>
              <w:t>650 Page Mill Road</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680" w:type="dxa"/>
            <w:vAlign w:val="bottom"/>
          </w:tcPr>
          <w:p>
            <w:pPr>
              <w:spacing w:after="0"/>
              <w:rPr>
                <w:sz w:val="12"/>
                <w:szCs w:val="12"/>
                <w:color w:val="auto"/>
              </w:rPr>
            </w:pP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680" w:type="dxa"/>
            <w:vAlign w:val="bottom"/>
          </w:tcPr>
          <w:p>
            <w:pPr>
              <w:spacing w:after="0"/>
              <w:rPr>
                <w:sz w:val="12"/>
                <w:szCs w:val="12"/>
                <w:color w:val="auto"/>
              </w:rPr>
            </w:pPr>
          </w:p>
        </w:tc>
        <w:tc>
          <w:tcPr>
            <w:tcW w:w="314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3"/>
              </w:rPr>
              <w:t>(650) 493-9300</w:t>
            </w:r>
          </w:p>
        </w:tc>
      </w:tr>
      <w:tr>
        <w:trPr>
          <w:trHeight w:val="186"/>
        </w:trPr>
        <w:tc>
          <w:tcPr>
            <w:tcW w:w="262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(650) 843-5000</w:t>
            </w:r>
          </w:p>
        </w:tc>
        <w:tc>
          <w:tcPr>
            <w:tcW w:w="3680" w:type="dxa"/>
            <w:vAlign w:val="bottom"/>
          </w:tcPr>
          <w:p>
            <w:pPr>
              <w:spacing w:after="0"/>
              <w:rPr>
                <w:sz w:val="16"/>
                <w:szCs w:val="16"/>
                <w:color w:val="auto"/>
              </w:rPr>
            </w:pPr>
          </w:p>
        </w:tc>
        <w:tc>
          <w:tcPr>
            <w:tcW w:w="31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208" w:lineRule="exact"/>
        <w:rPr>
          <w:sz w:val="24"/>
          <w:szCs w:val="24"/>
          <w:color w:val="auto"/>
        </w:rPr>
      </w:pPr>
    </w:p>
    <w:p>
      <w:pPr>
        <w:ind w:left="200" w:right="480" w:firstLine="33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44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6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6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140" w:firstLine="33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0" w:lineRule="exact"/>
        <w:rPr>
          <w:sz w:val="24"/>
          <w:szCs w:val="24"/>
          <w:color w:val="auto"/>
        </w:rPr>
      </w:pPr>
    </w:p>
    <w:p>
      <w:pPr>
        <w:jc w:val="both"/>
        <w:ind w:left="200" w:right="4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220" w:type="dxa"/>
        <w:tblCellMar>
          <w:top w:w="0" w:type="dxa"/>
          <w:left w:w="0" w:type="dxa"/>
          <w:bottom w:w="0" w:type="dxa"/>
          <w:right w:w="0" w:type="dxa"/>
        </w:tblCellMar>
      </w:tblPr>
      <w:tr>
        <w:trPr>
          <w:trHeight w:val="40"/>
        </w:trPr>
        <w:tc>
          <w:tcPr>
            <w:tcW w:w="44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60" w:type="dxa"/>
            <w:vAlign w:val="bottom"/>
            <w:tcBorders>
              <w:right w:val="single" w:sz="8" w:color="auto"/>
            </w:tcBorders>
            <w:vMerge w:val="restart"/>
          </w:tcPr>
          <w:p>
            <w:pPr>
              <w:ind w:left="460"/>
              <w:spacing w:after="0"/>
              <w:rPr>
                <w:sz w:val="20"/>
                <w:szCs w:val="20"/>
                <w:color w:val="auto"/>
              </w:rPr>
            </w:pPr>
            <w:r>
              <w:rPr>
                <w:rFonts w:ascii="Arial" w:cs="Arial" w:eastAsia="Arial" w:hAnsi="Arial"/>
                <w:sz w:val="14"/>
                <w:szCs w:val="14"/>
                <w:b w:val="1"/>
                <w:bCs w:val="1"/>
                <w:color w:val="auto"/>
              </w:rPr>
              <w:t>Amount to be</w:t>
            </w:r>
          </w:p>
        </w:tc>
        <w:tc>
          <w:tcPr>
            <w:tcW w:w="1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42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 Per</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 Offering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auto"/>
              </w:rPr>
              <w:t>Registered(1)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Price(2)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bl>
    <w:p>
      <w:pPr>
        <w:sectPr>
          <w:pgSz w:w="11900" w:h="16838" w:orient="portrait"/>
          <w:cols w:equalWidth="0" w:num="1">
            <w:col w:w="11240"/>
          </w:cols>
          <w:pgMar w:left="240" w:top="230" w:right="41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Class A Common Stock, $0.001 par value per share</w:t>
            </w:r>
          </w:p>
        </w:tc>
        <w:tc>
          <w:tcPr>
            <w:tcW w:w="1660" w:type="dxa"/>
            <w:vAlign w:val="bottom"/>
            <w:tcBorders>
              <w:top w:val="single" w:sz="8" w:color="auto"/>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color w:val="auto"/>
              </w:rPr>
              <w:t>24,000,000</w:t>
            </w:r>
          </w:p>
        </w:tc>
        <w:tc>
          <w:tcPr>
            <w:tcW w:w="1660" w:type="dxa"/>
            <w:vAlign w:val="bottom"/>
            <w:tcBorders>
              <w:top w:val="single" w:sz="8" w:color="auto"/>
              <w:bottom w:val="single" w:sz="8" w:color="auto"/>
              <w:right w:val="single" w:sz="8" w:color="auto"/>
            </w:tcBorders>
          </w:tcPr>
          <w:p>
            <w:pPr>
              <w:jc w:val="right"/>
              <w:ind w:right="528"/>
              <w:spacing w:after="0"/>
              <w:rPr>
                <w:sz w:val="20"/>
                <w:szCs w:val="20"/>
                <w:color w:val="auto"/>
              </w:rPr>
            </w:pPr>
            <w:r>
              <w:rPr>
                <w:rFonts w:ascii="Arial" w:cs="Arial" w:eastAsia="Arial" w:hAnsi="Arial"/>
                <w:sz w:val="14"/>
                <w:szCs w:val="14"/>
                <w:color w:val="auto"/>
              </w:rPr>
              <w:t>$35.00</w:t>
            </w:r>
          </w:p>
        </w:tc>
        <w:tc>
          <w:tcPr>
            <w:tcW w:w="1640" w:type="dxa"/>
            <w:vAlign w:val="bottom"/>
            <w:tcBorders>
              <w:top w:val="single" w:sz="8" w:color="auto"/>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$840,000,000</w:t>
            </w:r>
          </w:p>
        </w:tc>
        <w:tc>
          <w:tcPr>
            <w:tcW w:w="16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$101,808</w:t>
            </w: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320" w:hanging="316"/>
        <w:spacing w:after="0" w:line="231" w:lineRule="auto"/>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that the underwriters have the option to purchase to cover over-allotments, if any.</w:t>
      </w:r>
    </w:p>
    <w:p>
      <w:pPr>
        <w:ind w:left="320" w:hanging="316"/>
        <w:spacing w:after="0" w:line="221" w:lineRule="auto"/>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pursuant to Rule 457(a).</w:t>
      </w: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$93,082 in connection with a prior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80" w:firstLine="33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33"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00" w:right="320"/>
        <w:spacing w:after="0" w:line="243" w:lineRule="auto"/>
        <w:rPr>
          <w:sz w:val="20"/>
          <w:szCs w:val="20"/>
          <w:color w:val="auto"/>
        </w:rPr>
      </w:pPr>
      <w:r>
        <w:rPr>
          <w:rFonts w:ascii="Arial" w:cs="Arial" w:eastAsia="Arial" w:hAnsi="Arial"/>
          <w:sz w:val="15"/>
          <w:szCs w:val="15"/>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neither we nor the selling stockholders are soliciting offers to buy these securities in any jurisdiction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CC062A"/>
        </w:rPr>
        <w:t>PROSPECTUS (Subject to Completion)</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CC062A"/>
        </w:rPr>
        <w:t>Issued April 16, 2019</w:t>
      </w: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32"/>
          <w:szCs w:val="32"/>
          <w:i w:val="1"/>
          <w:iCs w:val="1"/>
          <w:color w:val="auto"/>
        </w:rPr>
        <w:t>20,869,565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173355</wp:posOffset>
            </wp:positionV>
            <wp:extent cx="144081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230505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b w:val="1"/>
          <w:bCs w:val="1"/>
          <w:i w:val="1"/>
          <w:iCs w:val="1"/>
          <w:color w:val="auto"/>
        </w:rPr>
        <w:t>Zoom Video Communications, Inc. is offering 9,911,434 shares of our Class A common stock, and the selling stockholders are offering 10,958,131 shares of Class A common stock. We will not receive any proceeds from the sale of shares by the selling stockholders. This is our initial public offering, and no public market currently exists for our shares of common stock. We anticipate that the initial public offering price will be between $33.00 and $35.00 per share.</w:t>
      </w:r>
    </w:p>
    <w:p>
      <w:pPr>
        <w:spacing w:after="0" w:line="187" w:lineRule="exact"/>
        <w:rPr>
          <w:sz w:val="20"/>
          <w:szCs w:val="20"/>
          <w:color w:val="auto"/>
        </w:rPr>
      </w:pPr>
    </w:p>
    <w:p>
      <w:pPr>
        <w:jc w:val="both"/>
        <w:ind w:left="200" w:right="160"/>
        <w:spacing w:after="0" w:line="307" w:lineRule="auto"/>
        <w:rPr>
          <w:sz w:val="20"/>
          <w:szCs w:val="20"/>
          <w:color w:val="auto"/>
        </w:rPr>
      </w:pPr>
      <w:r>
        <w:rPr>
          <w:rFonts w:ascii="Arial" w:cs="Arial" w:eastAsia="Arial" w:hAnsi="Arial"/>
          <w:sz w:val="15"/>
          <w:szCs w:val="15"/>
          <w:b w:val="1"/>
          <w:bCs w:val="1"/>
          <w:i w:val="1"/>
          <w:iCs w:val="1"/>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w:t>
      </w:r>
    </w:p>
    <w:p>
      <w:pPr>
        <w:spacing w:after="0" w:line="1"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b w:val="1"/>
          <w:bCs w:val="1"/>
          <w:i w:val="1"/>
          <w:iCs w:val="1"/>
          <w:color w:val="auto"/>
        </w:rPr>
        <w:t>Outstanding shares of Class B common stock will represent approximately 98.9% of the voting power of our outstanding capital stock immediately following this offering and the concurrent private placement.</w:t>
      </w:r>
    </w:p>
    <w:p>
      <w:pPr>
        <w:spacing w:after="0" w:line="184"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Salesforce Ventures LLC has entered into an agreement with us pursuant to which it has agreed to purchase $100.0 million of our Class A common stock in a private placement at a price per share equal to the initial public offering price. This transaction is contingent upon, and is scheduled to close immediately subsequent to,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been approved to list our Class A common stock on The Nasdaq Global Select Market under the symbol “ZM.”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246380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0" w:right="50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Class A common stock involves risks. See “</w:t>
      </w:r>
      <w:hyperlink w:anchor="page20">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PRICE $</w:t>
            </w:r>
          </w:p>
        </w:tc>
        <w:tc>
          <w:tcPr>
            <w:tcW w:w="1380" w:type="dxa"/>
            <w:vAlign w:val="bottom"/>
            <w:gridSpan w:val="2"/>
          </w:tcPr>
          <w:p>
            <w:pPr>
              <w:ind w:left="400"/>
              <w:spacing w:after="0"/>
              <w:rPr>
                <w:sz w:val="20"/>
                <w:szCs w:val="20"/>
                <w:color w:val="auto"/>
              </w:rPr>
            </w:pPr>
            <w:r>
              <w:rPr>
                <w:rFonts w:ascii="Arial" w:cs="Arial" w:eastAsia="Arial" w:hAnsi="Arial"/>
                <w:sz w:val="18"/>
                <w:szCs w:val="18"/>
                <w:i w:val="1"/>
                <w:iCs w:val="1"/>
                <w:color w:val="auto"/>
              </w:rPr>
              <w:t>A SHARE</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7"/>
              </w:rPr>
              <w:t>Proceeds to</w:t>
            </w:r>
          </w:p>
        </w:tc>
        <w:tc>
          <w:tcPr>
            <w:tcW w:w="0" w:type="dxa"/>
            <w:vAlign w:val="bottom"/>
          </w:tcPr>
          <w:p>
            <w:pPr>
              <w:spacing w:after="0"/>
              <w:rPr>
                <w:sz w:val="1"/>
                <w:szCs w:val="1"/>
                <w:color w:val="auto"/>
              </w:rPr>
            </w:pPr>
          </w:p>
        </w:tc>
      </w:tr>
      <w:tr>
        <w:trPr>
          <w:trHeight w:val="407"/>
        </w:trPr>
        <w:tc>
          <w:tcPr>
            <w:tcW w:w="4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Price to</w:t>
            </w: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Discounts and</w:t>
            </w:r>
          </w:p>
        </w:tc>
        <w:tc>
          <w:tcPr>
            <w:tcW w:w="1540" w:type="dxa"/>
            <w:vAlign w:val="bottom"/>
            <w:gridSpan w:val="2"/>
          </w:tcPr>
          <w:p>
            <w:pPr>
              <w:ind w:left="860"/>
              <w:spacing w:after="0" w:line="149" w:lineRule="exact"/>
              <w:rPr>
                <w:sz w:val="20"/>
                <w:szCs w:val="20"/>
                <w:color w:val="auto"/>
              </w:rPr>
            </w:pPr>
            <w:r>
              <w:rPr>
                <w:rFonts w:ascii="Arial" w:cs="Arial" w:eastAsia="Arial" w:hAnsi="Arial"/>
                <w:sz w:val="14"/>
                <w:szCs w:val="14"/>
                <w:b w:val="1"/>
                <w:bCs w:val="1"/>
                <w:i w:val="1"/>
                <w:iCs w:val="1"/>
                <w:color w:val="auto"/>
                <w:w w:val="82"/>
              </w:rPr>
              <w:t>Proceeds to</w:t>
            </w:r>
          </w:p>
        </w:tc>
        <w:tc>
          <w:tcPr>
            <w:tcW w:w="9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Selling</w:t>
            </w:r>
          </w:p>
        </w:tc>
        <w:tc>
          <w:tcPr>
            <w:tcW w:w="0" w:type="dxa"/>
            <w:vAlign w:val="bottom"/>
          </w:tcPr>
          <w:p>
            <w:pPr>
              <w:spacing w:after="0"/>
              <w:rPr>
                <w:sz w:val="1"/>
                <w:szCs w:val="1"/>
                <w:color w:val="auto"/>
              </w:rPr>
            </w:pPr>
          </w:p>
        </w:tc>
      </w:tr>
      <w:tr>
        <w:trPr>
          <w:trHeight w:val="167"/>
        </w:trPr>
        <w:tc>
          <w:tcPr>
            <w:tcW w:w="4360" w:type="dxa"/>
            <w:vAlign w:val="bottom"/>
            <w:vMerge w:val="restart"/>
          </w:tcPr>
          <w:p>
            <w:pPr>
              <w:spacing w:after="0"/>
              <w:rPr>
                <w:sz w:val="20"/>
                <w:szCs w:val="20"/>
                <w:color w:val="auto"/>
              </w:rPr>
            </w:pPr>
            <w:r>
              <w:rPr>
                <w:rFonts w:ascii="Arial" w:cs="Arial" w:eastAsia="Arial" w:hAnsi="Arial"/>
                <w:sz w:val="18"/>
                <w:szCs w:val="18"/>
                <w:i w:val="1"/>
                <w:iCs w:val="1"/>
                <w:color w:val="auto"/>
              </w:rPr>
              <w:t>Per Share</w:t>
            </w:r>
          </w:p>
        </w:tc>
        <w:tc>
          <w:tcPr>
            <w:tcW w:w="9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Public</w:t>
            </w:r>
          </w:p>
        </w:tc>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Commissions</w:t>
            </w:r>
            <w:r>
              <w:rPr>
                <w:rFonts w:ascii="Arial" w:cs="Arial" w:eastAsia="Arial" w:hAnsi="Arial"/>
                <w:sz w:val="12"/>
                <w:szCs w:val="12"/>
                <w:b w:val="1"/>
                <w:bCs w:val="1"/>
                <w:i w:val="1"/>
                <w:iCs w:val="1"/>
                <w:color w:val="auto"/>
                <w:w w:val="86"/>
              </w:rPr>
              <w:t>(1)</w:t>
            </w:r>
          </w:p>
        </w:tc>
        <w:tc>
          <w:tcPr>
            <w:tcW w:w="86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Zoom</w:t>
            </w:r>
          </w:p>
        </w:tc>
        <w:tc>
          <w:tcPr>
            <w:tcW w:w="1680" w:type="dxa"/>
            <w:vAlign w:val="bottom"/>
            <w:gridSpan w:val="2"/>
          </w:tcPr>
          <w:p>
            <w:pPr>
              <w:jc w:val="center"/>
              <w:ind w:left="819"/>
              <w:spacing w:after="0"/>
              <w:rPr>
                <w:sz w:val="20"/>
                <w:szCs w:val="20"/>
                <w:color w:val="auto"/>
              </w:rPr>
            </w:pPr>
            <w:r>
              <w:rPr>
                <w:rFonts w:ascii="Arial" w:cs="Arial" w:eastAsia="Arial" w:hAnsi="Arial"/>
                <w:sz w:val="14"/>
                <w:szCs w:val="14"/>
                <w:b w:val="1"/>
                <w:bCs w:val="1"/>
                <w:i w:val="1"/>
                <w:iCs w:val="1"/>
                <w:color w:val="auto"/>
                <w:w w:val="87"/>
              </w:rPr>
              <w:t>Stockholders</w:t>
            </w:r>
          </w:p>
        </w:tc>
        <w:tc>
          <w:tcPr>
            <w:tcW w:w="0" w:type="dxa"/>
            <w:vAlign w:val="bottom"/>
          </w:tcPr>
          <w:p>
            <w:pPr>
              <w:spacing w:after="0"/>
              <w:rPr>
                <w:sz w:val="1"/>
                <w:szCs w:val="1"/>
                <w:color w:val="auto"/>
              </w:rPr>
            </w:pPr>
          </w:p>
        </w:tc>
      </w:tr>
      <w:tr>
        <w:trPr>
          <w:trHeight w:val="195"/>
        </w:trPr>
        <w:tc>
          <w:tcPr>
            <w:tcW w:w="43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i w:val="1"/>
                <w:iCs w:val="1"/>
                <w:color w:val="auto"/>
              </w:rPr>
              <w:t>$</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top w:val="single" w:sz="8" w:color="auto"/>
            </w:tcBorders>
          </w:tcPr>
          <w:p>
            <w:pPr>
              <w:jc w:val="right"/>
              <w:ind w:right="444"/>
              <w:spacing w:after="0" w:line="195" w:lineRule="exact"/>
              <w:rPr>
                <w:sz w:val="20"/>
                <w:szCs w:val="20"/>
                <w:color w:val="auto"/>
              </w:rPr>
            </w:pPr>
            <w:r>
              <w:rPr>
                <w:rFonts w:ascii="Arial" w:cs="Arial" w:eastAsia="Arial" w:hAnsi="Arial"/>
                <w:sz w:val="18"/>
                <w:szCs w:val="18"/>
                <w:i w:val="1"/>
                <w:iCs w:val="1"/>
                <w:color w:val="auto"/>
              </w:rPr>
              <w:t>$</w:t>
            </w:r>
          </w:p>
        </w:tc>
        <w:tc>
          <w:tcPr>
            <w:tcW w:w="860" w:type="dxa"/>
            <w:vAlign w:val="bottom"/>
          </w:tcPr>
          <w:p>
            <w:pPr>
              <w:spacing w:after="0"/>
              <w:rPr>
                <w:sz w:val="16"/>
                <w:szCs w:val="16"/>
                <w:color w:val="auto"/>
              </w:rPr>
            </w:pPr>
          </w:p>
        </w:tc>
        <w:tc>
          <w:tcPr>
            <w:tcW w:w="6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i w:val="1"/>
                <w:iCs w:val="1"/>
                <w:color w:val="auto"/>
              </w:rPr>
              <w:t>$</w:t>
            </w:r>
          </w:p>
        </w:tc>
        <w:tc>
          <w:tcPr>
            <w:tcW w:w="920" w:type="dxa"/>
            <w:vAlign w:val="bottom"/>
          </w:tcPr>
          <w:p>
            <w:pPr>
              <w:spacing w:after="0"/>
              <w:rPr>
                <w:sz w:val="16"/>
                <w:szCs w:val="16"/>
                <w:color w:val="auto"/>
              </w:rPr>
            </w:pPr>
          </w:p>
        </w:tc>
        <w:tc>
          <w:tcPr>
            <w:tcW w:w="760" w:type="dxa"/>
            <w:vAlign w:val="bottom"/>
            <w:tcBorders>
              <w:top w:val="single" w:sz="8" w:color="auto"/>
            </w:tcBorders>
          </w:tcPr>
          <w:p>
            <w:pPr>
              <w:jc w:val="right"/>
              <w:ind w:right="382"/>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gridSpan w:val="2"/>
          </w:tcPr>
          <w:p>
            <w:pPr>
              <w:jc w:val="right"/>
              <w:ind w:right="624"/>
              <w:spacing w:after="0"/>
              <w:rPr>
                <w:sz w:val="20"/>
                <w:szCs w:val="20"/>
                <w:color w:val="auto"/>
              </w:rPr>
            </w:pPr>
            <w:r>
              <w:rPr>
                <w:rFonts w:ascii="Arial" w:cs="Arial" w:eastAsia="Arial" w:hAnsi="Arial"/>
                <w:sz w:val="18"/>
                <w:szCs w:val="18"/>
                <w:i w:val="1"/>
                <w:iCs w:val="1"/>
                <w:color w:val="auto"/>
              </w:rPr>
              <w:t>$</w:t>
            </w:r>
          </w:p>
        </w:tc>
        <w:tc>
          <w:tcPr>
            <w:tcW w:w="1540" w:type="dxa"/>
            <w:vAlign w:val="bottom"/>
            <w:gridSpan w:val="2"/>
          </w:tcPr>
          <w:p>
            <w:pPr>
              <w:ind w:left="860"/>
              <w:spacing w:after="0"/>
              <w:rPr>
                <w:sz w:val="20"/>
                <w:szCs w:val="20"/>
                <w:color w:val="auto"/>
              </w:rPr>
            </w:pPr>
            <w:r>
              <w:rPr>
                <w:rFonts w:ascii="Arial" w:cs="Arial" w:eastAsia="Arial" w:hAnsi="Arial"/>
                <w:sz w:val="18"/>
                <w:szCs w:val="18"/>
                <w:i w:val="1"/>
                <w:iCs w:val="1"/>
                <w:color w:val="auto"/>
              </w:rPr>
              <w:t>$</w:t>
            </w:r>
          </w:p>
        </w:tc>
        <w:tc>
          <w:tcPr>
            <w:tcW w:w="1680" w:type="dxa"/>
            <w:vAlign w:val="bottom"/>
            <w:gridSpan w:val="2"/>
          </w:tcPr>
          <w:p>
            <w:pPr>
              <w:jc w:val="right"/>
              <w:ind w:right="56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“Underwriters” for a description of the compensation payable to the underwriters.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We have granted the underwriters the right to purchase up to an additional 3,130,435 shares of Class A common stock to cover overallotments, if any.</w:t>
      </w:r>
    </w:p>
    <w:p>
      <w:pPr>
        <w:spacing w:after="0" w:line="24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i w:val="1"/>
          <w:iCs w:val="1"/>
          <w:color w:val="auto"/>
        </w:rPr>
        <w:t>The Securities and Exchange Commission and state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360" w:type="dxa"/>
            <w:vAlign w:val="bottom"/>
            <w:gridSpan w:val="3"/>
          </w:tcPr>
          <w:p>
            <w:pPr>
              <w:spacing w:after="0"/>
              <w:rPr>
                <w:sz w:val="20"/>
                <w:szCs w:val="20"/>
                <w:color w:val="auto"/>
              </w:rPr>
            </w:pPr>
            <w:r>
              <w:rPr>
                <w:rFonts w:ascii="Arial" w:cs="Arial" w:eastAsia="Arial" w:hAnsi="Arial"/>
                <w:sz w:val="18"/>
                <w:szCs w:val="18"/>
                <w:i w:val="1"/>
                <w:iCs w:val="1"/>
                <w:color w:val="auto"/>
                <w:w w:val="89"/>
              </w:rPr>
              <w:t>The underwriters expect to deliver the shares of Class A common stock to purchasers on</w:t>
            </w:r>
          </w:p>
        </w:tc>
        <w:tc>
          <w:tcPr>
            <w:tcW w:w="1840" w:type="dxa"/>
            <w:vAlign w:val="bottom"/>
            <w:gridSpan w:val="2"/>
          </w:tcPr>
          <w:p>
            <w:pPr>
              <w:jc w:val="right"/>
              <w:ind w:right="328"/>
              <w:spacing w:after="0"/>
              <w:rPr>
                <w:sz w:val="20"/>
                <w:szCs w:val="20"/>
                <w:color w:val="auto"/>
              </w:rPr>
            </w:pPr>
            <w:r>
              <w:rPr>
                <w:rFonts w:ascii="Arial" w:cs="Arial" w:eastAsia="Arial" w:hAnsi="Arial"/>
                <w:sz w:val="18"/>
                <w:szCs w:val="18"/>
                <w:i w:val="1"/>
                <w:iCs w:val="1"/>
                <w:color w:val="auto"/>
              </w:rPr>
              <w:t>, 2019.</w:t>
            </w: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51"/>
        </w:trPr>
        <w:tc>
          <w:tcPr>
            <w:tcW w:w="2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gridSpan w:val="2"/>
          </w:tcPr>
          <w:p>
            <w:pPr>
              <w:spacing w:after="0"/>
              <w:rPr>
                <w:sz w:val="24"/>
                <w:szCs w:val="24"/>
                <w:color w:val="auto"/>
              </w:rPr>
            </w:pPr>
          </w:p>
        </w:tc>
        <w:tc>
          <w:tcPr>
            <w:tcW w:w="1960" w:type="dxa"/>
            <w:vAlign w:val="bottom"/>
          </w:tcPr>
          <w:p>
            <w:pPr>
              <w:spacing w:after="0"/>
              <w:rPr>
                <w:sz w:val="24"/>
                <w:szCs w:val="24"/>
                <w:color w:val="auto"/>
              </w:rPr>
            </w:pPr>
          </w:p>
        </w:tc>
      </w:tr>
      <w:tr>
        <w:trPr>
          <w:trHeight w:val="493"/>
        </w:trPr>
        <w:tc>
          <w:tcPr>
            <w:tcW w:w="2200" w:type="dxa"/>
            <w:vAlign w:val="bottom"/>
          </w:tcPr>
          <w:p>
            <w:pPr>
              <w:spacing w:after="0"/>
              <w:rPr>
                <w:sz w:val="20"/>
                <w:szCs w:val="20"/>
                <w:color w:val="auto"/>
              </w:rPr>
            </w:pPr>
            <w:r>
              <w:rPr>
                <w:rFonts w:ascii="Arial" w:cs="Arial" w:eastAsia="Arial" w:hAnsi="Arial"/>
                <w:sz w:val="18"/>
                <w:szCs w:val="18"/>
                <w:i w:val="1"/>
                <w:iCs w:val="1"/>
                <w:color w:val="auto"/>
              </w:rPr>
              <w:t>MORGAN STANLEY</w:t>
            </w:r>
          </w:p>
        </w:tc>
        <w:tc>
          <w:tcPr>
            <w:tcW w:w="4160" w:type="dxa"/>
            <w:vAlign w:val="bottom"/>
            <w:gridSpan w:val="2"/>
          </w:tcPr>
          <w:p>
            <w:pPr>
              <w:ind w:left="940"/>
              <w:spacing w:after="0"/>
              <w:rPr>
                <w:sz w:val="20"/>
                <w:szCs w:val="20"/>
                <w:color w:val="auto"/>
              </w:rPr>
            </w:pPr>
            <w:r>
              <w:rPr>
                <w:rFonts w:ascii="Arial" w:cs="Arial" w:eastAsia="Arial" w:hAnsi="Arial"/>
                <w:sz w:val="18"/>
                <w:szCs w:val="18"/>
                <w:i w:val="1"/>
                <w:iCs w:val="1"/>
                <w:color w:val="auto"/>
              </w:rPr>
              <w:t>J.P. MORGAN</w:t>
            </w:r>
          </w:p>
        </w:tc>
        <w:tc>
          <w:tcPr>
            <w:tcW w:w="2700" w:type="dxa"/>
            <w:vAlign w:val="bottom"/>
            <w:gridSpan w:val="3"/>
          </w:tcPr>
          <w:p>
            <w:pPr>
              <w:jc w:val="center"/>
              <w:ind w:right="268"/>
              <w:spacing w:after="0"/>
              <w:rPr>
                <w:sz w:val="20"/>
                <w:szCs w:val="20"/>
                <w:color w:val="auto"/>
              </w:rPr>
            </w:pPr>
            <w:r>
              <w:rPr>
                <w:rFonts w:ascii="Arial" w:cs="Arial" w:eastAsia="Arial" w:hAnsi="Arial"/>
                <w:sz w:val="18"/>
                <w:szCs w:val="18"/>
                <w:i w:val="1"/>
                <w:iCs w:val="1"/>
                <w:color w:val="auto"/>
                <w:w w:val="94"/>
              </w:rPr>
              <w:t>GOLDMAN SACHS &amp; CO. LLC</w:t>
            </w:r>
          </w:p>
        </w:tc>
        <w:tc>
          <w:tcPr>
            <w:tcW w:w="1960" w:type="dxa"/>
            <w:vAlign w:val="bottom"/>
          </w:tcPr>
          <w:p>
            <w:pPr>
              <w:jc w:val="right"/>
              <w:spacing w:after="0"/>
              <w:rPr>
                <w:sz w:val="20"/>
                <w:szCs w:val="20"/>
                <w:color w:val="auto"/>
              </w:rPr>
            </w:pPr>
            <w:r>
              <w:rPr>
                <w:rFonts w:ascii="Arial" w:cs="Arial" w:eastAsia="Arial" w:hAnsi="Arial"/>
                <w:sz w:val="18"/>
                <w:szCs w:val="18"/>
                <w:i w:val="1"/>
                <w:iCs w:val="1"/>
                <w:color w:val="auto"/>
              </w:rPr>
              <w:t>CREDIT SUISSE</w:t>
            </w:r>
          </w:p>
        </w:tc>
      </w:tr>
      <w:tr>
        <w:trPr>
          <w:trHeight w:val="318"/>
        </w:trPr>
        <w:tc>
          <w:tcPr>
            <w:tcW w:w="2200" w:type="dxa"/>
            <w:vAlign w:val="bottom"/>
          </w:tcPr>
          <w:p>
            <w:pPr>
              <w:spacing w:after="0"/>
              <w:rPr>
                <w:sz w:val="20"/>
                <w:szCs w:val="20"/>
                <w:color w:val="auto"/>
              </w:rPr>
            </w:pPr>
            <w:r>
              <w:rPr>
                <w:rFonts w:ascii="Arial" w:cs="Arial" w:eastAsia="Arial" w:hAnsi="Arial"/>
                <w:sz w:val="16"/>
                <w:szCs w:val="16"/>
                <w:i w:val="1"/>
                <w:iCs w:val="1"/>
                <w:color w:val="auto"/>
              </w:rPr>
              <w:t>BofA MERRILL LYNCH</w:t>
            </w:r>
          </w:p>
        </w:tc>
        <w:tc>
          <w:tcPr>
            <w:tcW w:w="4160" w:type="dxa"/>
            <w:vAlign w:val="bottom"/>
            <w:gridSpan w:val="2"/>
          </w:tcPr>
          <w:p>
            <w:pPr>
              <w:ind w:left="2140"/>
              <w:spacing w:after="0"/>
              <w:rPr>
                <w:sz w:val="20"/>
                <w:szCs w:val="20"/>
                <w:color w:val="auto"/>
              </w:rPr>
            </w:pPr>
            <w:r>
              <w:rPr>
                <w:rFonts w:ascii="Arial" w:cs="Arial" w:eastAsia="Arial" w:hAnsi="Arial"/>
                <w:sz w:val="16"/>
                <w:szCs w:val="16"/>
                <w:i w:val="1"/>
                <w:iCs w:val="1"/>
                <w:color w:val="auto"/>
              </w:rPr>
              <w:t>RBC CAPITAL MARKETS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6"/>
                <w:szCs w:val="16"/>
                <w:i w:val="1"/>
                <w:iCs w:val="1"/>
                <w:color w:val="auto"/>
                <w:w w:val="89"/>
              </w:rPr>
              <w:t>WELLS FARGO SECURITIES</w:t>
            </w:r>
          </w:p>
        </w:tc>
      </w:tr>
      <w:tr>
        <w:trPr>
          <w:trHeight w:val="291"/>
        </w:trPr>
        <w:tc>
          <w:tcPr>
            <w:tcW w:w="2200" w:type="dxa"/>
            <w:vAlign w:val="bottom"/>
          </w:tcPr>
          <w:p>
            <w:pPr>
              <w:spacing w:after="0"/>
              <w:rPr>
                <w:sz w:val="20"/>
                <w:szCs w:val="20"/>
                <w:color w:val="auto"/>
              </w:rPr>
            </w:pPr>
            <w:r>
              <w:rPr>
                <w:rFonts w:ascii="Arial" w:cs="Arial" w:eastAsia="Arial" w:hAnsi="Arial"/>
                <w:sz w:val="14"/>
                <w:szCs w:val="14"/>
                <w:i w:val="1"/>
                <w:iCs w:val="1"/>
                <w:color w:val="auto"/>
              </w:rPr>
              <w:t>JMP SECURITIES</w:t>
            </w:r>
          </w:p>
        </w:tc>
        <w:tc>
          <w:tcPr>
            <w:tcW w:w="4160" w:type="dxa"/>
            <w:vAlign w:val="bottom"/>
            <w:gridSpan w:val="2"/>
          </w:tcPr>
          <w:p>
            <w:pPr>
              <w:ind w:left="620"/>
              <w:spacing w:after="0"/>
              <w:rPr>
                <w:sz w:val="20"/>
                <w:szCs w:val="20"/>
                <w:color w:val="auto"/>
              </w:rPr>
            </w:pPr>
            <w:r>
              <w:rPr>
                <w:rFonts w:ascii="Arial" w:cs="Arial" w:eastAsia="Arial" w:hAnsi="Arial"/>
                <w:sz w:val="14"/>
                <w:szCs w:val="14"/>
                <w:i w:val="1"/>
                <w:iCs w:val="1"/>
                <w:color w:val="auto"/>
              </w:rPr>
              <w:t>KEYBANC CAPITAL MARKETS</w:t>
            </w:r>
          </w:p>
        </w:tc>
        <w:tc>
          <w:tcPr>
            <w:tcW w:w="30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4"/>
                <w:szCs w:val="14"/>
                <w:i w:val="1"/>
                <w:iCs w:val="1"/>
                <w:color w:val="auto"/>
              </w:rPr>
              <w:t>PIPER JAFFRAY</w:t>
            </w:r>
          </w:p>
        </w:tc>
        <w:tc>
          <w:tcPr>
            <w:tcW w:w="860" w:type="dxa"/>
            <w:vAlign w:val="bottom"/>
          </w:tcPr>
          <w:p>
            <w:pPr>
              <w:ind w:left="400"/>
              <w:spacing w:after="0"/>
              <w:rPr>
                <w:sz w:val="20"/>
                <w:szCs w:val="20"/>
                <w:color w:val="auto"/>
              </w:rPr>
            </w:pPr>
            <w:r>
              <w:rPr>
                <w:rFonts w:ascii="Arial" w:cs="Arial" w:eastAsia="Arial" w:hAnsi="Arial"/>
                <w:sz w:val="14"/>
                <w:szCs w:val="14"/>
                <w:i w:val="1"/>
                <w:iCs w:val="1"/>
                <w:color w:val="auto"/>
                <w:w w:val="92"/>
              </w:rPr>
              <w:t>STIFEL</w:t>
            </w:r>
          </w:p>
        </w:tc>
        <w:tc>
          <w:tcPr>
            <w:tcW w:w="1960" w:type="dxa"/>
            <w:vAlign w:val="bottom"/>
          </w:tcPr>
          <w:p>
            <w:pPr>
              <w:jc w:val="right"/>
              <w:spacing w:after="0"/>
              <w:rPr>
                <w:sz w:val="20"/>
                <w:szCs w:val="20"/>
                <w:color w:val="auto"/>
              </w:rPr>
            </w:pPr>
            <w:r>
              <w:rPr>
                <w:rFonts w:ascii="Arial" w:cs="Arial" w:eastAsia="Arial" w:hAnsi="Arial"/>
                <w:sz w:val="14"/>
                <w:szCs w:val="14"/>
                <w:i w:val="1"/>
                <w:iCs w:val="1"/>
                <w:color w:val="auto"/>
              </w:rPr>
              <w:t>WILLIAM BLAIR</w:t>
            </w:r>
          </w:p>
        </w:tc>
      </w:tr>
    </w:tbl>
    <w:p>
      <w:pPr>
        <w:spacing w:after="0" w:line="187" w:lineRule="exact"/>
        <w:rPr>
          <w:sz w:val="20"/>
          <w:szCs w:val="20"/>
          <w:color w:val="auto"/>
        </w:rPr>
      </w:pPr>
    </w:p>
    <w:p>
      <w:pPr>
        <w:sectPr>
          <w:pgSz w:w="11900" w:h="16838" w:orient="portrait"/>
          <w:cols w:equalWidth="0" w:num="1">
            <w:col w:w="11220"/>
          </w:cols>
          <w:pgMar w:left="240" w:top="459" w:right="439" w:bottom="811" w:gutter="0" w:footer="0" w:header="0"/>
        </w:sectPr>
      </w:pPr>
    </w:p>
    <w:p>
      <w:pPr>
        <w:ind w:left="1100"/>
        <w:spacing w:after="0"/>
        <w:rPr>
          <w:sz w:val="20"/>
          <w:szCs w:val="20"/>
          <w:color w:val="auto"/>
        </w:rPr>
      </w:pPr>
      <w:r>
        <w:rPr>
          <w:rFonts w:ascii="Arial" w:cs="Arial" w:eastAsia="Arial" w:hAnsi="Arial"/>
          <w:sz w:val="16"/>
          <w:szCs w:val="16"/>
          <w:i w:val="1"/>
          <w:iCs w:val="1"/>
          <w:color w:val="auto"/>
        </w:rPr>
        <w:t>, 2019</w:t>
      </w:r>
    </w:p>
    <w:p>
      <w:pPr>
        <w:sectPr>
          <w:pgSz w:w="11900" w:h="16838" w:orient="portrait"/>
          <w:cols w:equalWidth="0" w:num="1">
            <w:col w:w="11220"/>
          </w:cols>
          <w:pgMar w:left="240" w:top="459" w:right="439" w:bottom="811"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6671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88585" cy="66719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3336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88585" cy="33362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TABLE OF CONTENTS</w:t>
      </w: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w:t>
      </w:r>
    </w:p>
    <w:p>
      <w:pPr>
        <w:sectPr>
          <w:pgSz w:w="11900" w:h="16838" w:orient="portrait"/>
          <w:cols w:equalWidth="0" w:num="1">
            <w:col w:w="11200"/>
          </w:cols>
          <w:pgMar w:left="240" w:top="459" w:right="459" w:bottom="1440" w:gutter="0" w:footer="0" w:header="0"/>
        </w:sectPr>
      </w:pP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PROSPECTUS SUMMARY</w:t>
              </w:r>
            </w:hyperlink>
          </w:p>
        </w:tc>
        <w:tc>
          <w:tcPr>
            <w:tcW w:w="2760" w:type="dxa"/>
            <w:vAlign w:val="bottom"/>
            <w:gridSpan w:val="8"/>
            <w:vMerge w:val="restart"/>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760" w:type="dxa"/>
            <w:vAlign w:val="bottom"/>
            <w:gridSpan w:val="8"/>
            <w:vMerge w:val="continue"/>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RISK FACTORS</w:t>
              </w:r>
            </w:hyperlink>
          </w:p>
        </w:tc>
        <w:tc>
          <w:tcPr>
            <w:tcW w:w="36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SPECIAL NOTE REGARDING FORWARD-LOOKING</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STATEMENTS</w:t>
              </w:r>
            </w:hyperlink>
          </w:p>
        </w:tc>
        <w:tc>
          <w:tcPr>
            <w:tcW w:w="7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MARKET AND INDUSTRY DATA</w:t>
              </w:r>
            </w:hyperlink>
          </w:p>
        </w:tc>
        <w:tc>
          <w:tcPr>
            <w:tcW w:w="22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USE OF PROCEEDS</w:t>
              </w:r>
            </w:hyperlink>
          </w:p>
        </w:tc>
        <w:tc>
          <w:tcPr>
            <w:tcW w:w="326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DIVIDEND POLICY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CAPITALIZATION</w:t>
              </w:r>
            </w:hyperlink>
          </w:p>
        </w:tc>
        <w:tc>
          <w:tcPr>
            <w:tcW w:w="32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4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SELECTED CONSOLIDATED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FINANCIAL CONDITION AND RESULTS OF</w:t>
              </w:r>
            </w:hyperlink>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OPERATIONS</w:t>
              </w:r>
            </w:hyperlink>
          </w:p>
        </w:tc>
        <w:tc>
          <w:tcPr>
            <w:tcW w:w="11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A LETTER FROM ERIC S. YUAN</w:t>
              </w:r>
            </w:hyperlink>
          </w:p>
        </w:tc>
        <w:tc>
          <w:tcPr>
            <w:tcW w:w="22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BUSINESS</w:t>
              </w:r>
            </w:hyperlink>
          </w:p>
        </w:tc>
        <w:tc>
          <w:tcPr>
            <w:tcW w:w="40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08">
              <w:r>
                <w:rPr>
                  <w:rFonts w:ascii="Arial" w:cs="Arial" w:eastAsia="Arial" w:hAnsi="Arial"/>
                  <w:sz w:val="18"/>
                  <w:szCs w:val="18"/>
                  <w:color w:val="0000EE"/>
                  <w:w w:val="95"/>
                </w:rPr>
                <w:t>EXECUTIVE COMPENSATION</w:t>
              </w:r>
            </w:hyperlink>
          </w:p>
        </w:tc>
        <w:tc>
          <w:tcPr>
            <w:tcW w:w="240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020" w:type="dxa"/>
            <w:vAlign w:val="bottom"/>
            <w:gridSpan w:val="15"/>
            <w:vMerge w:val="restart"/>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CERTAIN RELATIONSHIPS AND RELATED PARTY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5020" w:type="dxa"/>
            <w:vAlign w:val="bottom"/>
            <w:gridSpan w:val="15"/>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126">
              <w:r>
                <w:rPr>
                  <w:rFonts w:ascii="Arial" w:cs="Arial" w:eastAsia="Arial" w:hAnsi="Arial"/>
                  <w:sz w:val="18"/>
                  <w:szCs w:val="18"/>
                  <w:color w:val="0000EE"/>
                  <w:w w:val="96"/>
                </w:rPr>
                <w:t>PRINCIPAL AND SELLING STOCKHOLDERS</w:t>
              </w:r>
            </w:hyperlink>
          </w:p>
        </w:tc>
        <w:tc>
          <w:tcPr>
            <w:tcW w:w="14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31">
              <w:r>
                <w:rPr>
                  <w:rFonts w:ascii="Arial" w:cs="Arial" w:eastAsia="Arial" w:hAnsi="Arial"/>
                  <w:sz w:val="18"/>
                  <w:szCs w:val="18"/>
                  <w:color w:val="0000EE"/>
                  <w:w w:val="95"/>
                </w:rPr>
                <w:t>DESCRIPTION OF CAPITAL STOCK</w:t>
              </w:r>
            </w:hyperlink>
          </w:p>
        </w:tc>
        <w:tc>
          <w:tcPr>
            <w:tcW w:w="21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141">
              <w:r>
                <w:rPr>
                  <w:rFonts w:ascii="Arial" w:cs="Arial" w:eastAsia="Arial" w:hAnsi="Arial"/>
                  <w:sz w:val="18"/>
                  <w:szCs w:val="18"/>
                  <w:color w:val="0000EE"/>
                  <w:w w:val="97"/>
                </w:rPr>
                <w:t>MATERIAL U.S. FEDERAL INCOME TAX</w:t>
              </w:r>
            </w:hyperlink>
          </w:p>
        </w:tc>
        <w:tc>
          <w:tcPr>
            <w:tcW w:w="17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40" w:type="dxa"/>
            <w:vAlign w:val="bottom"/>
            <w:gridSpan w:val="14"/>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CONSEQUENCES TO NON-U.S. HOLDERS OF OUR</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CLASS A COMMON STOCK</w:t>
              </w:r>
            </w:hyperlink>
          </w:p>
        </w:tc>
        <w:tc>
          <w:tcPr>
            <w:tcW w:w="1840" w:type="dxa"/>
            <w:vAlign w:val="bottom"/>
            <w:tcBorders>
              <w:top w:val="single" w:sz="8" w:color="0000EE"/>
            </w:tcBorders>
            <w:gridSpan w:val="7"/>
          </w:tcPr>
          <w:p>
            <w:pPr>
              <w:spacing w:after="0"/>
              <w:rPr>
                <w:sz w:val="17"/>
                <w:szCs w:val="17"/>
                <w:color w:val="auto"/>
              </w:rPr>
            </w:pPr>
          </w:p>
        </w:tc>
        <w:tc>
          <w:tcPr>
            <w:tcW w:w="7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UNDERWRITERS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55">
              <w:r>
                <w:rPr>
                  <w:rFonts w:ascii="Arial" w:cs="Arial" w:eastAsia="Arial" w:hAnsi="Arial"/>
                  <w:sz w:val="18"/>
                  <w:szCs w:val="18"/>
                  <w:color w:val="0000EE"/>
                  <w:w w:val="96"/>
                </w:rPr>
                <w:t>CONCURRENT PRIVATE PLACEMENT</w:t>
              </w:r>
            </w:hyperlink>
          </w:p>
        </w:tc>
        <w:tc>
          <w:tcPr>
            <w:tcW w:w="18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754380</wp:posOffset>
            </wp:positionV>
            <wp:extent cx="1466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420" w:space="400"/>
            <w:col w:w="5380"/>
          </w:cols>
          <w:pgMar w:left="240" w:top="459" w:right="45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Neither we, the selling stockholders, nor any of the underwriters have authorized anyone to provide you with any information or to make any representations other than those contained in this prospectus or in any free writing prospectuses we have prepared. Neither we, the selling stockholders, nor any of the underwriters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85" w:lineRule="exact"/>
        <w:rPr>
          <w:sz w:val="20"/>
          <w:szCs w:val="20"/>
          <w:color w:val="auto"/>
        </w:rPr>
      </w:pPr>
    </w:p>
    <w:p>
      <w:pPr>
        <w:ind w:left="200" w:right="220" w:firstLine="441"/>
        <w:spacing w:after="0" w:line="289"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Our fiscal year ends on January 31. Unless the context otherwise requires, all references in this prospectus to “we,” “us,” “our,” “our company” and “Zoom” refer to Zoom Video Communications, Inc. Unless otherwise indicated, references to our “common stock” include our Class A common stock and Class B common stock.</w:t>
      </w: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65" w:lineRule="exact"/>
        <w:rPr>
          <w:sz w:val="20"/>
          <w:szCs w:val="20"/>
          <w:color w:val="auto"/>
        </w:rPr>
      </w:pPr>
    </w:p>
    <w:p>
      <w:pPr>
        <w:ind w:left="380" w:right="20" w:firstLine="426"/>
        <w:spacing w:after="0" w:line="272" w:lineRule="auto"/>
        <w:rPr>
          <w:sz w:val="20"/>
          <w:szCs w:val="20"/>
          <w:color w:val="auto"/>
        </w:rPr>
      </w:pPr>
      <w:r>
        <w:rPr>
          <w:rFonts w:ascii="Arial" w:cs="Arial" w:eastAsia="Arial" w:hAnsi="Arial"/>
          <w:sz w:val="17"/>
          <w:szCs w:val="17"/>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8"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7"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ind w:left="380" w:right="160" w:firstLine="426"/>
        <w:spacing w:after="0" w:line="259" w:lineRule="auto"/>
        <w:rPr>
          <w:sz w:val="20"/>
          <w:szCs w:val="20"/>
          <w:color w:val="auto"/>
        </w:rPr>
      </w:pPr>
      <w:r>
        <w:rPr>
          <w:rFonts w:ascii="Arial" w:cs="Arial" w:eastAsia="Arial" w:hAnsi="Arial"/>
          <w:sz w:val="18"/>
          <w:szCs w:val="18"/>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9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300"/>
        <w:spacing w:after="0" w:line="286" w:lineRule="auto"/>
        <w:rPr>
          <w:sz w:val="20"/>
          <w:szCs w:val="20"/>
          <w:color w:val="auto"/>
        </w:rPr>
      </w:pPr>
      <w:r>
        <w:rPr>
          <w:rFonts w:ascii="Arial" w:cs="Arial" w:eastAsia="Arial" w:hAnsi="Arial"/>
          <w:sz w:val="17"/>
          <w:szCs w:val="17"/>
          <w:color w:val="auto"/>
        </w:rPr>
        <w:t>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66" w:lineRule="exact"/>
        <w:rPr>
          <w:sz w:val="20"/>
          <w:szCs w:val="20"/>
          <w:color w:val="auto"/>
        </w:rPr>
      </w:pPr>
    </w:p>
    <w:p>
      <w:pPr>
        <w:ind w:left="380" w:right="80" w:firstLine="426"/>
        <w:spacing w:after="0" w:line="276" w:lineRule="auto"/>
        <w:rPr>
          <w:sz w:val="20"/>
          <w:szCs w:val="20"/>
          <w:color w:val="auto"/>
        </w:rPr>
      </w:pPr>
      <w:r>
        <w:rPr>
          <w:rFonts w:ascii="Arial" w:cs="Arial" w:eastAsia="Arial" w:hAnsi="Arial"/>
          <w:sz w:val="17"/>
          <w:szCs w:val="17"/>
          <w:color w:val="auto"/>
        </w:rPr>
        <w:t>The happiness we bring is recognized by customers and industry analysts alike. In 2018, our average customer Net Promoter Score (NPS) was over 70.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73"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78"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w:t>
      </w:r>
    </w:p>
    <w:p>
      <w:pPr>
        <w:ind w:left="380" w:right="120"/>
        <w:spacing w:after="0" w:line="295" w:lineRule="auto"/>
        <w:rPr>
          <w:sz w:val="20"/>
          <w:szCs w:val="20"/>
          <w:color w:val="auto"/>
        </w:rPr>
      </w:pPr>
      <w:r>
        <w:rPr>
          <w:rFonts w:ascii="Arial" w:cs="Arial" w:eastAsia="Arial" w:hAnsi="Arial"/>
          <w:sz w:val="16"/>
          <w:szCs w:val="16"/>
          <w:color w:val="auto"/>
        </w:rPr>
        <w:t>$60.8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Industry Trends in Our Favor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Communication is at the Center of Organizational Performance</w:t>
      </w:r>
    </w:p>
    <w:p>
      <w:pPr>
        <w:spacing w:after="0" w:line="117" w:lineRule="exact"/>
        <w:rPr>
          <w:sz w:val="20"/>
          <w:szCs w:val="20"/>
          <w:color w:val="auto"/>
        </w:rPr>
      </w:pPr>
    </w:p>
    <w:p>
      <w:pPr>
        <w:jc w:val="both"/>
        <w:ind w:left="380" w:right="360" w:firstLine="426"/>
        <w:spacing w:after="0" w:line="264" w:lineRule="auto"/>
        <w:rPr>
          <w:sz w:val="20"/>
          <w:szCs w:val="20"/>
          <w:color w:val="auto"/>
        </w:rPr>
      </w:pPr>
      <w:r>
        <w:rPr>
          <w:rFonts w:ascii="Arial" w:cs="Arial" w:eastAsia="Arial" w:hAnsi="Arial"/>
          <w:sz w:val="18"/>
          <w:szCs w:val="18"/>
          <w:color w:val="auto"/>
        </w:rPr>
        <w:t>Communication is fundamental for organizations. High-quality communication increases happiness throughout teams and, when coupled with strong execution, can improve business performance. The evolving nature of the modern workforce has made communication even more important than it has been in the past.</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Communication and Collaboration Must Evolve as the Nature of Work is Changing</w:t>
      </w:r>
    </w:p>
    <w:p>
      <w:pPr>
        <w:spacing w:after="0" w:line="117" w:lineRule="exact"/>
        <w:rPr>
          <w:sz w:val="20"/>
          <w:szCs w:val="20"/>
          <w:color w:val="auto"/>
        </w:rPr>
      </w:pPr>
    </w:p>
    <w:p>
      <w:pPr>
        <w:ind w:left="380" w:right="740" w:firstLine="426"/>
        <w:spacing w:after="0" w:line="277" w:lineRule="auto"/>
        <w:rPr>
          <w:sz w:val="20"/>
          <w:szCs w:val="20"/>
          <w:color w:val="auto"/>
        </w:rPr>
      </w:pPr>
      <w:r>
        <w:rPr>
          <w:rFonts w:ascii="Arial" w:cs="Arial" w:eastAsia="Arial" w:hAnsi="Arial"/>
          <w:sz w:val="18"/>
          <w:szCs w:val="18"/>
          <w:color w:val="auto"/>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1220" w:right="40" w:hanging="415"/>
        <w:spacing w:after="0" w:line="264"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increasingly distributed</w:t>
      </w:r>
      <w:r>
        <w:rPr>
          <w:rFonts w:ascii="Arial" w:cs="Arial" w:eastAsia="Arial" w:hAnsi="Arial"/>
          <w:sz w:val="18"/>
          <w:szCs w:val="18"/>
          <w:color w:val="auto"/>
        </w:rPr>
        <w:t>. Historically, teams were physically located together, even in the largest organizations,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productivity. Mobile and cloud technologies and ubiquitous network connectivity have enabled modern organizations to be increasingly distributed.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32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6332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415"/>
        <w:spacing w:after="0" w:line="25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Organizations seek to drive deeper engagement with employees, customers and partners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People derive more personal satisfaction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more productive when they engage at a deeper level across internal and external business relationships. With increasingly distributed workforces, maintaining this level of engagement is difficult.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93" w:lineRule="exact"/>
        <w:rPr>
          <w:rFonts w:ascii="Arial" w:cs="Arial" w:eastAsia="Arial" w:hAnsi="Arial"/>
          <w:sz w:val="18"/>
          <w:szCs w:val="18"/>
          <w:color w:val="auto"/>
        </w:rPr>
      </w:pPr>
    </w:p>
    <w:p>
      <w:pPr>
        <w:ind w:left="122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Workforce demographics are changing. </w:t>
      </w:r>
      <w:r>
        <w:rPr>
          <w:rFonts w:ascii="Arial" w:cs="Arial" w:eastAsia="Arial" w:hAnsi="Arial"/>
          <w:sz w:val="18"/>
          <w:szCs w:val="18"/>
          <w:color w:val="auto"/>
        </w:rPr>
        <w:t>Shifting demographics alongside increasingly distributed workforces increase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ways to communicate beyond in-person meetings. For example, millennials currently make up 35% of the U.S. workforce. This population values agility and flexibility in their work environment, and millennials expect technology to meet their needs and work seamlessly.</w:t>
      </w:r>
    </w:p>
    <w:p>
      <w:pPr>
        <w:spacing w:after="0" w:line="92" w:lineRule="exact"/>
        <w:rPr>
          <w:rFonts w:ascii="Arial" w:cs="Arial" w:eastAsia="Arial" w:hAnsi="Arial"/>
          <w:sz w:val="18"/>
          <w:szCs w:val="18"/>
          <w:color w:val="auto"/>
        </w:rPr>
      </w:pPr>
    </w:p>
    <w:p>
      <w:pPr>
        <w:jc w:val="both"/>
        <w:ind w:left="1220" w:right="8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influencing IT decisions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are increasingly the primary force for IT modernization at work as they bring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latest technologies from their personal lives to their jobs. Employees often expect to seamlessly communicate on any device and across mediums and, as a result, are increasingly influencing IT decisions.</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Organizations Need a Comprehensive Platform that Enables Modern Communication</w:t>
      </w:r>
    </w:p>
    <w:p>
      <w:pPr>
        <w:spacing w:after="0" w:line="117" w:lineRule="exact"/>
        <w:rPr>
          <w:sz w:val="20"/>
          <w:szCs w:val="20"/>
          <w:color w:val="auto"/>
        </w:rPr>
      </w:pPr>
    </w:p>
    <w:p>
      <w:pPr>
        <w:ind w:left="380" w:right="80" w:firstLine="426"/>
        <w:spacing w:after="0" w:line="257" w:lineRule="auto"/>
        <w:rPr>
          <w:sz w:val="20"/>
          <w:szCs w:val="20"/>
          <w:color w:val="auto"/>
        </w:rPr>
      </w:pPr>
      <w:r>
        <w:rPr>
          <w:rFonts w:ascii="Arial" w:cs="Arial" w:eastAsia="Arial" w:hAnsi="Arial"/>
          <w:sz w:val="18"/>
          <w:szCs w:val="18"/>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This dynamic has resulted in organizations deploying disparate and siloed technologies to address each of the various ways in which people communicate, including video, voice, email, chat and content sharing. These disparate technologies are difficult for employees to adopt and navigate and cumbersome and expensive for IT to support and manage.</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 effectively enable modern communication, a comprehensive platform must have the following qualities:</w:t>
      </w:r>
    </w:p>
    <w:p>
      <w:pPr>
        <w:spacing w:after="0" w:line="131" w:lineRule="exact"/>
        <w:rPr>
          <w:sz w:val="20"/>
          <w:szCs w:val="20"/>
          <w:color w:val="auto"/>
        </w:rPr>
      </w:pPr>
    </w:p>
    <w:p>
      <w:pPr>
        <w:ind w:left="1220" w:right="18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Reliable, high-quality communications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have a significant need for a platform that reliably delivers high-quality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voice, even with varying levels of network performance.</w:t>
      </w:r>
    </w:p>
    <w:p>
      <w:pPr>
        <w:spacing w:after="0" w:line="75" w:lineRule="exact"/>
        <w:rPr>
          <w:rFonts w:ascii="Arial" w:cs="Arial" w:eastAsia="Arial" w:hAnsi="Arial"/>
          <w:sz w:val="18"/>
          <w:szCs w:val="18"/>
          <w:color w:val="auto"/>
        </w:rPr>
      </w:pPr>
    </w:p>
    <w:p>
      <w:pPr>
        <w:jc w:val="both"/>
        <w:ind w:left="1220" w:right="68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Easy to use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drive broad adoption, a platform’s user interface must be intuitive and easily navigable. In addition, users want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that have feature parity across devices and seamlessly integrate with their calendars, contacts and overall workflows.</w:t>
      </w:r>
    </w:p>
    <w:p>
      <w:pPr>
        <w:spacing w:after="0" w:line="29" w:lineRule="exact"/>
        <w:rPr>
          <w:rFonts w:ascii="Arial" w:cs="Arial" w:eastAsia="Arial" w:hAnsi="Arial"/>
          <w:sz w:val="16"/>
          <w:szCs w:val="16"/>
          <w:color w:val="auto"/>
        </w:rPr>
      </w:pPr>
    </w:p>
    <w:p>
      <w:pPr>
        <w:ind w:left="1220" w:right="14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Easy to deploy and manage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want a single platform that is easy to deploy, leverages existing network infrastructure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conference room hardware and is simple to manage at scale through an intuitive administrative console and reporting system.</w:t>
      </w:r>
    </w:p>
    <w:p>
      <w:pPr>
        <w:spacing w:after="0" w:line="29" w:lineRule="exact"/>
        <w:rPr>
          <w:rFonts w:ascii="Arial" w:cs="Arial" w:eastAsia="Arial" w:hAnsi="Arial"/>
          <w:sz w:val="16"/>
          <w:szCs w:val="16"/>
          <w:color w:val="auto"/>
        </w:rPr>
      </w:pPr>
    </w:p>
    <w:p>
      <w:pPr>
        <w:ind w:left="1220" w:right="2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want a single platform that not only reduces the costs of proprietary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room investments but also provides other opportunities for further cost savings, such as reducing unnecessary and expensive business travel.</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Scalability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need a communications platform that can be optimized for their footprint and scales as they grow.</w:t>
      </w:r>
    </w:p>
    <w:p>
      <w:pPr>
        <w:spacing w:after="0" w:line="142" w:lineRule="exact"/>
        <w:rPr>
          <w:rFonts w:ascii="Arial" w:cs="Arial" w:eastAsia="Arial" w:hAnsi="Arial"/>
          <w:sz w:val="17"/>
          <w:szCs w:val="17"/>
          <w:color w:val="auto"/>
        </w:rPr>
      </w:pPr>
    </w:p>
    <w:p>
      <w:pPr>
        <w:ind w:left="1220" w:hanging="415"/>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Organizations need a platform that integrates with their physical workspaces and existing business applications.</w:t>
      </w:r>
    </w:p>
    <w:p>
      <w:pPr>
        <w:spacing w:after="0" w:line="142" w:lineRule="exact"/>
        <w:rPr>
          <w:rFonts w:ascii="Arial" w:cs="Arial" w:eastAsia="Arial" w:hAnsi="Arial"/>
          <w:sz w:val="17"/>
          <w:szCs w:val="17"/>
          <w:color w:val="auto"/>
        </w:rPr>
      </w:pPr>
    </w:p>
    <w:p>
      <w:pPr>
        <w:ind w:left="1220" w:hanging="415"/>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Flexible terms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also want to purchase technology under flexible terms that are right-sized for their business needs.</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by connecting them through frictionless video, voice, chat and content sharing. Our cloud-native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20"/>
        <w:spacing w:after="0" w:line="277" w:lineRule="auto"/>
        <w:rPr>
          <w:sz w:val="20"/>
          <w:szCs w:val="20"/>
          <w:color w:val="auto"/>
        </w:rPr>
      </w:pPr>
      <w:r>
        <w:rPr>
          <w:rFonts w:ascii="Arial" w:cs="Arial" w:eastAsia="Arial" w:hAnsi="Arial"/>
          <w:sz w:val="18"/>
          <w:szCs w:val="18"/>
          <w:color w:val="auto"/>
        </w:rPr>
        <w:t>platform enables face-to-face video experiences and connects thousands of users across disparate devices and locations in a single meeting. We strive to make Zoom meetings better than in-person meetings.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Key benefits of our platform include:</w:t>
      </w:r>
    </w:p>
    <w:p>
      <w:pPr>
        <w:spacing w:after="0" w:line="131" w:lineRule="exact"/>
        <w:rPr>
          <w:sz w:val="20"/>
          <w:szCs w:val="20"/>
          <w:color w:val="auto"/>
        </w:rPr>
      </w:pPr>
    </w:p>
    <w:p>
      <w:pPr>
        <w:ind w:left="1220" w:right="180" w:hanging="415"/>
        <w:spacing w:after="0" w:line="286"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Reliable, high-quality communications that enable productivity, connectedness and trust. </w:t>
      </w:r>
      <w:r>
        <w:rPr>
          <w:rFonts w:ascii="Arial" w:cs="Arial" w:eastAsia="Arial" w:hAnsi="Arial"/>
          <w:sz w:val="17"/>
          <w:szCs w:val="17"/>
          <w:color w:val="auto"/>
        </w:rPr>
        <w:t>Our platform delivers a high-quality,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reliable communications experience across devices even with varying bandwidths and network performance. In fact, our platform can continue to deliver a productive meeting experience even with up to 40% packet loss.</w:t>
      </w:r>
    </w:p>
    <w:p>
      <w:pPr>
        <w:spacing w:after="0" w:line="70" w:lineRule="exact"/>
        <w:rPr>
          <w:rFonts w:ascii="Arial" w:cs="Arial" w:eastAsia="Arial" w:hAnsi="Arial"/>
          <w:sz w:val="17"/>
          <w:szCs w:val="17"/>
          <w:color w:val="auto"/>
        </w:rPr>
      </w:pPr>
    </w:p>
    <w:p>
      <w:pPr>
        <w:ind w:left="1220" w:right="16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We provide a consolidated, intuitive interface for video, voice, chat and content sharing that can be easily navigated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first time users. We enable calendar integration, easy synchronization with conference room equipment and feature parity across devices.</w:t>
      </w:r>
    </w:p>
    <w:p>
      <w:pPr>
        <w:spacing w:after="0" w:line="86" w:lineRule="exact"/>
        <w:rPr>
          <w:rFonts w:ascii="Arial" w:cs="Arial" w:eastAsia="Arial" w:hAnsi="Arial"/>
          <w:sz w:val="18"/>
          <w:szCs w:val="18"/>
          <w:color w:val="auto"/>
        </w:rPr>
      </w:pPr>
    </w:p>
    <w:p>
      <w:pPr>
        <w:ind w:left="1220" w:right="34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deploy and manage. </w:t>
      </w:r>
      <w:r>
        <w:rPr>
          <w:rFonts w:ascii="Arial" w:cs="Arial" w:eastAsia="Arial" w:hAnsi="Arial"/>
          <w:sz w:val="18"/>
          <w:szCs w:val="18"/>
          <w:color w:val="auto"/>
        </w:rPr>
        <w:t>Our cloud-native platform is easy to deploy and manage by both IT administrators and business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 when integrating with existing infrastructure. Our platform removes the need for the integration of disparate communications tools, product-specific knowledge and high-touch user support and troubleshooting.</w:t>
      </w:r>
    </w:p>
    <w:p>
      <w:pPr>
        <w:spacing w:after="0" w:line="82" w:lineRule="exact"/>
        <w:rPr>
          <w:rFonts w:ascii="Arial" w:cs="Arial" w:eastAsia="Arial" w:hAnsi="Arial"/>
          <w:sz w:val="18"/>
          <w:szCs w:val="18"/>
          <w:color w:val="auto"/>
        </w:rPr>
      </w:pPr>
    </w:p>
    <w:p>
      <w:pPr>
        <w:jc w:val="both"/>
        <w:ind w:left="1220" w:right="140" w:hanging="415"/>
        <w:spacing w:after="0" w:line="266"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drives higher employee engagement and improved collaboration, resulting in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organizational productivity. Switching to our platform also reduces the costs associated with expensive on-premises infrastructure and continual maintenance.</w:t>
      </w:r>
    </w:p>
    <w:p>
      <w:pPr>
        <w:spacing w:after="0" w:line="85" w:lineRule="exact"/>
        <w:rPr>
          <w:rFonts w:ascii="Arial" w:cs="Arial" w:eastAsia="Arial" w:hAnsi="Arial"/>
          <w:sz w:val="18"/>
          <w:szCs w:val="18"/>
          <w:color w:val="auto"/>
        </w:rPr>
      </w:pPr>
    </w:p>
    <w:p>
      <w:pPr>
        <w:ind w:left="1220" w:right="100" w:hanging="415"/>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cloud-native platform was purpose-built to scale with organizations as they grow in size and complexity.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delivers the highest quality experience for organizations of all sizes and for meetings, whether with two or thousands of users.</w:t>
      </w:r>
    </w:p>
    <w:p>
      <w:pPr>
        <w:spacing w:after="0" w:line="29" w:lineRule="exact"/>
        <w:rPr>
          <w:rFonts w:ascii="Arial" w:cs="Arial" w:eastAsia="Arial" w:hAnsi="Arial"/>
          <w:sz w:val="16"/>
          <w:szCs w:val="16"/>
          <w:color w:val="auto"/>
        </w:rPr>
      </w:pPr>
    </w:p>
    <w:p>
      <w:pPr>
        <w:ind w:left="1220" w:right="16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Our platform integrates with cloud software applications provided by companies such as Atlassian, Dropbox, Google,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LinkedIn, Microsoft, salesforce.com, Slack and others. We also have an ecosystem of hardware partners through which we deploy our Zoom Rooms and Conference Room Connector offerings.</w:t>
      </w:r>
    </w:p>
    <w:p>
      <w:pPr>
        <w:spacing w:after="0" w:line="86" w:lineRule="exact"/>
        <w:rPr>
          <w:rFonts w:ascii="Arial" w:cs="Arial" w:eastAsia="Arial" w:hAnsi="Arial"/>
          <w:sz w:val="18"/>
          <w:szCs w:val="18"/>
          <w:color w:val="auto"/>
        </w:rPr>
      </w:pPr>
    </w:p>
    <w:p>
      <w:pPr>
        <w:ind w:left="1220" w:right="7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terms. </w:t>
      </w:r>
      <w:r>
        <w:rPr>
          <w:rFonts w:ascii="Arial" w:cs="Arial" w:eastAsia="Arial" w:hAnsi="Arial"/>
          <w:sz w:val="18"/>
          <w:szCs w:val="18"/>
          <w:color w:val="auto"/>
        </w:rPr>
        <w:t>Customers can subscribe to our communications platform based on the number of hosts that they require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month-to-month basis or purchase one- to multi-year subscriptions.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believe that we have a number of competitive advantages that will enable us to maintain and extend our leadership in communications.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competitive strengths include:</w:t>
      </w:r>
    </w:p>
    <w:p>
      <w:pPr>
        <w:spacing w:after="0" w:line="116" w:lineRule="exact"/>
        <w:rPr>
          <w:sz w:val="20"/>
          <w:szCs w:val="20"/>
          <w:color w:val="auto"/>
        </w:rPr>
      </w:pPr>
    </w:p>
    <w:p>
      <w:pPr>
        <w:ind w:left="1220" w:right="40" w:hanging="415"/>
        <w:spacing w:after="0" w:line="312"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Video-first cloud architecture. </w:t>
      </w:r>
      <w:r>
        <w:rPr>
          <w:rFonts w:ascii="Arial" w:cs="Arial" w:eastAsia="Arial" w:hAnsi="Arial"/>
          <w:sz w:val="16"/>
          <w:szCs w:val="16"/>
          <w:color w:val="auto"/>
        </w:rPr>
        <w:t>We built our platform from the ground up to be cloud-native and video-first, unlike other approaches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have attempted to add video to an aging, pre-existing conference call or chat tool. Our unique architecture was built by our talented team, led by a founding group of engineers who have extensive expertise in real-time communications technology.</w:t>
      </w:r>
    </w:p>
    <w:p>
      <w:pPr>
        <w:spacing w:after="0" w:line="52" w:lineRule="exact"/>
        <w:rPr>
          <w:rFonts w:ascii="Arial" w:cs="Arial" w:eastAsia="Arial" w:hAnsi="Arial"/>
          <w:sz w:val="16"/>
          <w:szCs w:val="16"/>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 recognized market leader</w:t>
      </w:r>
      <w:r>
        <w:rPr>
          <w:rFonts w:ascii="Arial" w:cs="Arial" w:eastAsia="Arial" w:hAnsi="Arial"/>
          <w:sz w:val="18"/>
          <w:szCs w:val="18"/>
          <w:color w:val="auto"/>
        </w:rPr>
        <w:t>. We have been recognized by industry analysts as a market leader.</w:t>
      </w:r>
    </w:p>
    <w:p>
      <w:pPr>
        <w:spacing w:after="0" w:line="130" w:lineRule="exact"/>
        <w:rPr>
          <w:rFonts w:ascii="Arial" w:cs="Arial" w:eastAsia="Arial" w:hAnsi="Arial"/>
          <w:sz w:val="18"/>
          <w:szCs w:val="18"/>
          <w:color w:val="auto"/>
        </w:rPr>
      </w:pPr>
    </w:p>
    <w:p>
      <w:pPr>
        <w:ind w:left="1220" w:right="360" w:hanging="415"/>
        <w:spacing w:after="0" w:line="286"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demand driven by individual users. </w:t>
      </w:r>
      <w:r>
        <w:rPr>
          <w:rFonts w:ascii="Arial" w:cs="Arial" w:eastAsia="Arial" w:hAnsi="Arial"/>
          <w:sz w:val="17"/>
          <w:szCs w:val="17"/>
          <w:color w:val="auto"/>
        </w:rPr>
        <w:t>Our rapid adoption is driven by a virtuous cycle of positive user experiences.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typically begin using our platform when a colleague or associate invites them to a Zoom meeting. When attendees experience our platform and realize the benefits, they often become paying customers to unlock additional functionality.</w:t>
      </w:r>
    </w:p>
    <w:p>
      <w:pPr>
        <w:spacing w:after="0" w:line="70" w:lineRule="exact"/>
        <w:rPr>
          <w:rFonts w:ascii="Arial" w:cs="Arial" w:eastAsia="Arial" w:hAnsi="Arial"/>
          <w:sz w:val="17"/>
          <w:szCs w:val="17"/>
          <w:color w:val="auto"/>
        </w:rPr>
      </w:pPr>
    </w:p>
    <w:p>
      <w:pPr>
        <w:ind w:left="122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base of happy customers. </w:t>
      </w:r>
      <w:r>
        <w:rPr>
          <w:rFonts w:ascii="Arial" w:cs="Arial" w:eastAsia="Arial" w:hAnsi="Arial"/>
          <w:sz w:val="18"/>
          <w:szCs w:val="18"/>
          <w:color w:val="auto"/>
        </w:rPr>
        <w:t>We believe that making and keeping users happy is critical to growing our business. We believe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 NPS, which averaged over 70 in 2018, demonstrates that our high-quality, easy-to-use platform is making customers happy.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4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547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6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Multipronged go-to-market strategy. </w:t>
      </w:r>
      <w:r>
        <w:rPr>
          <w:rFonts w:ascii="Arial" w:cs="Arial" w:eastAsia="Arial" w:hAnsi="Arial"/>
          <w:sz w:val="18"/>
          <w:szCs w:val="18"/>
          <w:color w:val="auto"/>
        </w:rPr>
        <w:t>We have a multipronged go-to-market strategy that integrates the viral enthusiasm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with optimal routes-to-market that match the size of the customer opportunity. Our direct sales force and strategic partners sell to customers of all sizes, and we leverage our online sales channel for smaller customers.</w:t>
      </w:r>
    </w:p>
    <w:p>
      <w:pPr>
        <w:spacing w:after="0" w:line="86" w:lineRule="exact"/>
        <w:rPr>
          <w:rFonts w:ascii="Arial" w:cs="Arial" w:eastAsia="Arial" w:hAnsi="Arial"/>
          <w:sz w:val="18"/>
          <w:szCs w:val="18"/>
          <w:color w:val="auto"/>
        </w:rPr>
      </w:pPr>
    </w:p>
    <w:p>
      <w:pPr>
        <w:ind w:left="1220" w:right="200" w:hanging="415"/>
        <w:spacing w:after="0" w:line="308" w:lineRule="auto"/>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Robust customer support and success function. </w:t>
      </w:r>
      <w:r>
        <w:rPr>
          <w:rFonts w:ascii="Arial" w:cs="Arial" w:eastAsia="Arial" w:hAnsi="Arial"/>
          <w:sz w:val="17"/>
          <w:szCs w:val="17"/>
          <w:color w:val="auto"/>
        </w:rPr>
        <w:t>We offer 24/7/365 support through live chat, phone and video. For the 90-day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January 31, 2019, our customer support team had a customer satisfaction score (CSAT) of over 90%.</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Culture of Happiness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31" w:lineRule="exact"/>
        <w:rPr>
          <w:sz w:val="20"/>
          <w:szCs w:val="20"/>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Mission</w:t>
      </w:r>
      <w:r>
        <w:rPr>
          <w:rFonts w:ascii="Arial" w:cs="Arial" w:eastAsia="Arial" w:hAnsi="Arial"/>
          <w:sz w:val="18"/>
          <w:szCs w:val="18"/>
          <w:color w:val="auto"/>
        </w:rPr>
        <w:t>. Our mission is to make video communications frictionless.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Vision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vision is to empower people to accomplish more through video communications.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Values</w:t>
      </w:r>
      <w:r>
        <w:rPr>
          <w:rFonts w:ascii="Arial" w:cs="Arial" w:eastAsia="Arial" w:hAnsi="Arial"/>
          <w:sz w:val="18"/>
          <w:szCs w:val="18"/>
          <w:color w:val="auto"/>
        </w:rPr>
        <w:t>. We care for our community, our customers, our company, our teammates and ourselves.</w:t>
      </w:r>
    </w:p>
    <w:p>
      <w:pPr>
        <w:spacing w:after="0" w:line="225"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8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information workers could benefit from our platform’s ability to connect people through frictionless video, voice, chat and content sharing.</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131" w:lineRule="exact"/>
        <w:rPr>
          <w:sz w:val="20"/>
          <w:szCs w:val="20"/>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keep our existing customers happy;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drive new customer acquisition;</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within existing customers;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innovate our platform continuously;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accelerate international expansion;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 our partnership ecosystem and continue to expand our platform.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07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Our business is subject to numerous risks, as more fully described in the section titled “Risk Factors” immediately following this prospectus summary. These risks include, among others:</w:t>
      </w:r>
    </w:p>
    <w:p>
      <w:pPr>
        <w:spacing w:after="0" w:line="76" w:lineRule="exact"/>
        <w:rPr>
          <w:sz w:val="20"/>
          <w:szCs w:val="20"/>
          <w:color w:val="auto"/>
        </w:rPr>
      </w:pPr>
    </w:p>
    <w:p>
      <w:pPr>
        <w:ind w:left="1220" w:right="140" w:hanging="415"/>
        <w:spacing w:after="0" w:line="342" w:lineRule="auto"/>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29" w:lineRule="exact"/>
        <w:rPr>
          <w:rFonts w:ascii="Arial" w:cs="Arial" w:eastAsia="Arial" w:hAnsi="Arial"/>
          <w:sz w:val="16"/>
          <w:szCs w:val="16"/>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prospects and future results of operations;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130" w:lineRule="exact"/>
        <w:rPr>
          <w:rFonts w:ascii="Arial" w:cs="Arial" w:eastAsia="Arial" w:hAnsi="Arial"/>
          <w:sz w:val="18"/>
          <w:szCs w:val="18"/>
          <w:color w:val="auto"/>
        </w:rPr>
      </w:pPr>
    </w:p>
    <w:p>
      <w:pPr>
        <w:ind w:left="1220" w:right="22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delays or outages in service from our co-located data centers and a variety of other factors would impair the delivery of our services, require us to issue credits or pay penalties and harm our business;</w:t>
      </w:r>
    </w:p>
    <w:p>
      <w:pPr>
        <w:spacing w:after="0" w:line="75" w:lineRule="exact"/>
        <w:rPr>
          <w:rFonts w:ascii="Arial" w:cs="Arial" w:eastAsia="Arial" w:hAnsi="Arial"/>
          <w:sz w:val="18"/>
          <w:szCs w:val="18"/>
          <w:color w:val="auto"/>
        </w:rPr>
      </w:pPr>
    </w:p>
    <w:p>
      <w:pPr>
        <w:ind w:left="1220" w:right="400" w:hanging="415"/>
        <w:spacing w:after="0" w:line="264"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we increase sales to large organizations, our sales cycles could lengthen, and we could experience greater deployment challenges;</w:t>
      </w:r>
    </w:p>
    <w:p>
      <w:pPr>
        <w:spacing w:after="0" w:line="153" w:lineRule="exact"/>
        <w:rPr>
          <w:rFonts w:ascii="Arial" w:cs="Arial" w:eastAsia="Arial" w:hAnsi="Arial"/>
          <w:sz w:val="16"/>
          <w:szCs w:val="16"/>
          <w:color w:val="auto"/>
        </w:rPr>
      </w:pPr>
    </w:p>
    <w:p>
      <w:pPr>
        <w:ind w:left="1220" w:right="30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75" w:lineRule="exact"/>
        <w:rPr>
          <w:rFonts w:ascii="Arial" w:cs="Arial" w:eastAsia="Arial" w:hAnsi="Arial"/>
          <w:sz w:val="18"/>
          <w:szCs w:val="18"/>
          <w:color w:val="auto"/>
        </w:rPr>
      </w:pPr>
    </w:p>
    <w:p>
      <w:pPr>
        <w:ind w:left="1220" w:right="300" w:hanging="415"/>
        <w:spacing w:after="0" w:line="264"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 and</w:t>
      </w:r>
    </w:p>
    <w:p>
      <w:pPr>
        <w:spacing w:after="0" w:line="130" w:lineRule="exact"/>
        <w:rPr>
          <w:rFonts w:ascii="Arial" w:cs="Arial" w:eastAsia="Arial" w:hAnsi="Arial"/>
          <w:sz w:val="18"/>
          <w:szCs w:val="18"/>
          <w:color w:val="auto"/>
        </w:rPr>
      </w:pPr>
    </w:p>
    <w:p>
      <w:pPr>
        <w:ind w:left="1220" w:right="360" w:hanging="415"/>
        <w:spacing w:after="0" w:line="264"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60" w:firstLine="426"/>
        <w:spacing w:after="0" w:line="276" w:lineRule="auto"/>
        <w:rPr>
          <w:sz w:val="20"/>
          <w:szCs w:val="20"/>
          <w:color w:val="auto"/>
        </w:rPr>
      </w:pPr>
      <w:r>
        <w:rPr>
          <w:rFonts w:ascii="Arial" w:cs="Arial" w:eastAsia="Arial" w:hAnsi="Arial"/>
          <w:sz w:val="17"/>
          <w:szCs w:val="17"/>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w:t>
      </w:r>
      <w:r>
        <w:rPr>
          <w:rFonts w:ascii="Arial" w:cs="Arial" w:eastAsia="Arial" w:hAnsi="Arial"/>
          <w:sz w:val="14"/>
          <w:szCs w:val="14"/>
          <w:color w:val="auto"/>
        </w:rPr>
        <w:t>th</w:t>
      </w:r>
      <w:r>
        <w:rPr>
          <w:rFonts w:ascii="Arial" w:cs="Arial" w:eastAsia="Arial" w:hAnsi="Arial"/>
          <w:sz w:val="17"/>
          <w:szCs w:val="17"/>
          <w:color w:val="auto"/>
        </w:rPr>
        <w:t xml:space="preserve"> Floor, San Jose, California 95113. Our telephone number is (888) 799-9666. Our website address is https://zoom.com. Information contained on, or that can be accessed through, our website is not incorporated by reference into this prospectus, and you should not consider information on our website to be part of this prospectus.</w:t>
      </w:r>
    </w:p>
    <w:p>
      <w:pPr>
        <w:spacing w:after="0" w:line="173"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17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40176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220" w:right="2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comply for a certain period of time with the auditor attestation requirements of Section 404 of the Sarbanes-Oxley Act of 2002, as amended (the Sarbanes-Oxley Act);</w:t>
      </w:r>
    </w:p>
    <w:p>
      <w:pPr>
        <w:spacing w:after="0" w:line="75" w:lineRule="exact"/>
        <w:rPr>
          <w:rFonts w:ascii="Arial" w:cs="Arial" w:eastAsia="Arial" w:hAnsi="Arial"/>
          <w:sz w:val="18"/>
          <w:szCs w:val="18"/>
          <w:color w:val="auto"/>
        </w:rPr>
      </w:pPr>
    </w:p>
    <w:p>
      <w:pPr>
        <w:ind w:left="1220" w:right="10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75" w:lineRule="exact"/>
        <w:rPr>
          <w:rFonts w:ascii="Arial" w:cs="Arial" w:eastAsia="Arial" w:hAnsi="Arial"/>
          <w:sz w:val="18"/>
          <w:szCs w:val="18"/>
          <w:color w:val="auto"/>
        </w:rPr>
      </w:pPr>
    </w:p>
    <w:p>
      <w:pPr>
        <w:ind w:left="1220" w:right="60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a stockholder advisory vote on executive compensation and any golden parachute payments not previously approved.</w:t>
      </w:r>
    </w:p>
    <w:p>
      <w:pPr>
        <w:spacing w:after="0" w:line="170"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date of the first sale of our Class A common stock in this offering. However, if certain events occur prior to the end of such five-year period, including if (i) we become a “large accelerated filer,” with at least $700 million of equity securities held by non-affiliates; (ii) our annual gross revenue exceeds $1.07 billion; or</w:t>
      </w:r>
    </w:p>
    <w:p>
      <w:pPr>
        <w:ind w:left="380" w:right="40" w:firstLine="6"/>
        <w:spacing w:after="0" w:line="261"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issue more than $1.0 billion of non-convertible debt in any three-year period, we will cease to be an emerging growth company prior to the end of such five-year period.</w:t>
      </w:r>
    </w:p>
    <w:p>
      <w:pPr>
        <w:spacing w:after="0" w:line="184" w:lineRule="exact"/>
        <w:rPr>
          <w:sz w:val="20"/>
          <w:szCs w:val="20"/>
          <w:color w:val="auto"/>
        </w:rPr>
      </w:pPr>
    </w:p>
    <w:p>
      <w:pPr>
        <w:jc w:val="both"/>
        <w:ind w:left="380" w:right="140" w:firstLine="426"/>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7" w:lineRule="exact"/>
        <w:rPr>
          <w:sz w:val="20"/>
          <w:szCs w:val="20"/>
          <w:color w:val="auto"/>
        </w:rPr>
      </w:pPr>
    </w:p>
    <w:p>
      <w:pPr>
        <w:ind w:left="380" w:right="40" w:firstLine="426"/>
        <w:spacing w:after="0" w:line="302"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8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10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6410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OFFERING</w:t>
      </w:r>
    </w:p>
    <w:p>
      <w:pPr>
        <w:spacing w:after="0" w:line="324" w:lineRule="exact"/>
        <w:rPr>
          <w:sz w:val="20"/>
          <w:szCs w:val="20"/>
          <w:color w:val="auto"/>
        </w:rPr>
      </w:pPr>
    </w:p>
    <w:p>
      <w:pPr>
        <w:ind w:left="400"/>
        <w:spacing w:after="0"/>
        <w:tabs>
          <w:tab w:leader="none" w:pos="602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5"/>
          <w:szCs w:val="15"/>
          <w:color w:val="auto"/>
        </w:rPr>
        <w:t>9,911,434 shares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offered by the selling stockholders</w:t>
      </w:r>
    </w:p>
    <w:p>
      <w:pPr>
        <w:spacing w:after="0" w:line="23" w:lineRule="exact"/>
        <w:rPr>
          <w:sz w:val="20"/>
          <w:szCs w:val="20"/>
          <w:color w:val="auto"/>
        </w:rPr>
      </w:pPr>
    </w:p>
    <w:p>
      <w:pPr>
        <w:jc w:val="right"/>
        <w:ind w:right="3660"/>
        <w:spacing w:after="0"/>
        <w:rPr>
          <w:sz w:val="20"/>
          <w:szCs w:val="20"/>
          <w:color w:val="auto"/>
        </w:rPr>
      </w:pPr>
      <w:r>
        <w:rPr>
          <w:rFonts w:ascii="Arial" w:cs="Arial" w:eastAsia="Arial" w:hAnsi="Arial"/>
          <w:sz w:val="18"/>
          <w:szCs w:val="18"/>
          <w:color w:val="auto"/>
        </w:rPr>
        <w:t>10,958,131 shares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sold by us in the concurrent private placement</w:t>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80" w:right="120" w:hanging="179"/>
        <w:spacing w:after="0" w:line="277" w:lineRule="auto"/>
        <w:rPr>
          <w:sz w:val="20"/>
          <w:szCs w:val="20"/>
          <w:color w:val="auto"/>
        </w:rPr>
      </w:pPr>
      <w:r>
        <w:rPr>
          <w:rFonts w:ascii="Arial" w:cs="Arial" w:eastAsia="Arial" w:hAnsi="Arial"/>
          <w:sz w:val="18"/>
          <w:szCs w:val="18"/>
          <w:color w:val="auto"/>
        </w:rPr>
        <w:t>Class A common stock to be outstanding after this offering and the concurrent private placement</w:t>
      </w:r>
    </w:p>
    <w:p>
      <w:pPr>
        <w:spacing w:after="0" w:line="22" w:lineRule="exact"/>
        <w:rPr>
          <w:sz w:val="20"/>
          <w:szCs w:val="20"/>
          <w:color w:val="auto"/>
        </w:rPr>
      </w:pPr>
    </w:p>
    <w:p>
      <w:pPr>
        <w:ind w:left="580" w:right="120" w:hanging="179"/>
        <w:spacing w:after="0" w:line="277" w:lineRule="auto"/>
        <w:rPr>
          <w:sz w:val="20"/>
          <w:szCs w:val="20"/>
          <w:color w:val="auto"/>
        </w:rPr>
      </w:pPr>
      <w:r>
        <w:rPr>
          <w:rFonts w:ascii="Arial" w:cs="Arial" w:eastAsia="Arial" w:hAnsi="Arial"/>
          <w:sz w:val="18"/>
          <w:szCs w:val="18"/>
          <w:color w:val="auto"/>
        </w:rPr>
        <w:t>Class B common stock to be outstanding after this offering and the concurrent private placement</w:t>
      </w:r>
    </w:p>
    <w:p>
      <w:pPr>
        <w:spacing w:after="0" w:line="22" w:lineRule="exact"/>
        <w:rPr>
          <w:sz w:val="20"/>
          <w:szCs w:val="20"/>
          <w:color w:val="auto"/>
        </w:rPr>
      </w:pPr>
    </w:p>
    <w:p>
      <w:pPr>
        <w:ind w:left="580" w:hanging="179"/>
        <w:spacing w:after="0" w:line="277" w:lineRule="auto"/>
        <w:rPr>
          <w:sz w:val="20"/>
          <w:szCs w:val="20"/>
          <w:color w:val="auto"/>
        </w:rPr>
      </w:pPr>
      <w:r>
        <w:rPr>
          <w:rFonts w:ascii="Arial" w:cs="Arial" w:eastAsia="Arial" w:hAnsi="Arial"/>
          <w:sz w:val="18"/>
          <w:szCs w:val="18"/>
          <w:color w:val="auto"/>
        </w:rPr>
        <w:t>Total Class A and Class B common stock to be outstanding after this offering and the concurrent private placement</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Over-allotment option of Class A common stock offered by us</w:t>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Immediately subsequent to the closing of this offering, Salesforce Ventures LLC will purchase from us in a private placement $100.0 million of our Class A common stock at a price per share equal to the initial public offering price. Based on an assumed initial public offering price of $34.00 per share, which is the midpoint of the estimated offering price range set forth on the cover page of this prospectus, this would be 2,941,176 shares. We will receive the full proceeds and will not pay any underwriting discounts or commissions with respect to the shares that are sold in the private placement. The sale of the shares in the private placement is contingent upon the completion of this offering. The sale of these shares to Salesforce Ventures LLC will not be registered in this offering and will be subject to a market standoff agreement with us for a period of up to 365 days after the date of this prospectus and lock-up agreement with the underwriters for a period of up to 180 days after the date of this prospectus. See “Shares Eligible for Future Sale—Lock-Up Agreements and Market Standoff Provisions” for additional information regarding such restrictions. We refer to the private placement of these shares of Class A common stock as the concurrent private placement.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24,258,353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232,318,285 shares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256,576,638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3,130,435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We have two classes of authorized common stock: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and Class B common stock. The rights of the holders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A and Class B common stock are identical, except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voting and conversion rights. The holders of Class A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are entitled to one vote per share and the holders of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are entitled to 10 votes per share, on all matters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subject to stockholder vote. Each share of Class B common</w:t>
      </w:r>
    </w:p>
    <w:p>
      <w:pPr>
        <w:spacing w:after="0" w:line="200" w:lineRule="exact"/>
        <w:rPr>
          <w:sz w:val="20"/>
          <w:szCs w:val="20"/>
          <w:color w:val="auto"/>
        </w:rPr>
      </w:pPr>
    </w:p>
    <w:p>
      <w:pPr>
        <w:sectPr>
          <w:pgSz w:w="11900" w:h="16838" w:orient="portrait"/>
          <w:cols w:equalWidth="0" w:num="2">
            <w:col w:w="5320" w:space="720"/>
            <w:col w:w="4960"/>
          </w:cols>
          <w:pgMar w:left="240" w:top="459" w:right="65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000"/>
          </w:cols>
          <w:pgMar w:left="240" w:top="459" w:right="6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2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52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stock may be converted into one share of Class A common stock at</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the option of the holder thereof, and will be converted into one share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of Class A common stock upon transfer thereof, subject to certain</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exceptions.</w:t>
      </w:r>
    </w:p>
    <w:p>
      <w:pPr>
        <w:spacing w:after="0" w:line="116"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The holders of our outstanding Class B common stock will hold</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98.9% of the voting power of our outstanding capital stock following</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this offering and the concurrent private placement, with our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directors, executive officers and 5% stockholders and their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respective affiliates holding 64.9% of such voting power in the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aggregate. These holders will have the ability to control the outcome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of matters submitted to our shareholders for approval, including the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election of our directors and the approval of any change of control</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transaction. See the section titled “Description of Capital Stock” for</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additional information.</w:t>
      </w:r>
    </w:p>
    <w:p>
      <w:pPr>
        <w:sectPr>
          <w:pgSz w:w="11900" w:h="16838" w:orient="portrait"/>
          <w:cols w:equalWidth="0" w:num="1">
            <w:col w:w="11040"/>
          </w:cols>
          <w:pgMar w:left="240" w:top="459" w:right="619" w:bottom="1440" w:gutter="0" w:footer="0" w:header="0"/>
        </w:sectPr>
      </w:pPr>
    </w:p>
    <w:p>
      <w:pPr>
        <w:spacing w:after="0" w:line="7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estimate that our net proceeds from the sale of our Class A common stock that we are offering and the concurrent private placement will be approximately $414.0 million (or approximately $514.5 million if the underwriters exercise their over-allotment option in full), assuming an initial public offering price of $34.00 per share, the midpoint of the estimated price range set forth on the cover page of this prospectus, and after deducting estimated underwriting discounts and commissions and estimated expenses related to the offering and the concurrent private placement.</w:t>
      </w:r>
    </w:p>
    <w:p>
      <w:pPr>
        <w:spacing w:after="0" w:line="87" w:lineRule="exact"/>
        <w:rPr>
          <w:sz w:val="20"/>
          <w:szCs w:val="20"/>
          <w:color w:val="auto"/>
        </w:rPr>
      </w:pPr>
    </w:p>
    <w:p>
      <w:pPr>
        <w:sectPr>
          <w:pgSz w:w="11900" w:h="16838" w:orient="portrait"/>
          <w:cols w:equalWidth="0" w:num="2">
            <w:col w:w="5320" w:space="720"/>
            <w:col w:w="5000"/>
          </w:cols>
          <w:pgMar w:left="240" w:top="459" w:right="619" w:bottom="1440" w:gutter="0" w:footer="0" w:header="0"/>
          <w:type w:val="continuous"/>
        </w:sectPr>
      </w:pPr>
    </w:p>
    <w:p>
      <w:pPr>
        <w:ind w:left="6040"/>
        <w:spacing w:after="0"/>
        <w:rPr>
          <w:sz w:val="20"/>
          <w:szCs w:val="20"/>
          <w:color w:val="auto"/>
        </w:rPr>
      </w:pPr>
      <w:r>
        <w:rPr>
          <w:rFonts w:ascii="Arial" w:cs="Arial" w:eastAsia="Arial" w:hAnsi="Arial"/>
          <w:sz w:val="17"/>
          <w:szCs w:val="17"/>
          <w:color w:val="auto"/>
        </w:rPr>
        <w:t>We currently intend to use the net proceeds we receive from this</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offering and the concurrent private placement for general corporate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purposes, including working capital, operating expenses and capital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expenditures. We may also use a portion of the net proceeds for</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acquisitions or strategic investments in complementary businesses,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products, services or technologies, although we do not currently have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any plans or commitments for any such acquisitions or investments.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See the section titled “Use of Proceeds” for additional information.</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We will not receive any proceeds from the sale of shares of Class A</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common stock by the selling stockholders.</w:t>
      </w:r>
    </w:p>
    <w:p>
      <w:pPr>
        <w:sectPr>
          <w:pgSz w:w="11900" w:h="16838" w:orient="portrait"/>
          <w:cols w:equalWidth="0" w:num="1">
            <w:col w:w="11040"/>
          </w:cols>
          <w:pgMar w:left="240" w:top="459" w:right="619" w:bottom="1440" w:gutter="0" w:footer="0" w:header="0"/>
          <w:type w:val="continuous"/>
        </w:sectPr>
      </w:pP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Proposed Nasdaq trading symbol</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“ZM”</w:t>
      </w:r>
    </w:p>
    <w:p>
      <w:pPr>
        <w:spacing w:after="0" w:line="200" w:lineRule="exact"/>
        <w:rPr>
          <w:sz w:val="20"/>
          <w:szCs w:val="20"/>
          <w:color w:val="auto"/>
        </w:rPr>
      </w:pPr>
    </w:p>
    <w:p>
      <w:pPr>
        <w:sectPr>
          <w:pgSz w:w="11900" w:h="16838" w:orient="portrait"/>
          <w:cols w:equalWidth="0" w:num="2">
            <w:col w:w="5320" w:space="720"/>
            <w:col w:w="5000"/>
          </w:cols>
          <w:pgMar w:left="240" w:top="459" w:right="619" w:bottom="1440" w:gutter="0" w:footer="0" w:header="0"/>
          <w:type w:val="continuous"/>
        </w:sectPr>
      </w:pPr>
    </w:p>
    <w:p>
      <w:pPr>
        <w:spacing w:after="0" w:line="25" w:lineRule="exact"/>
        <w:rPr>
          <w:sz w:val="20"/>
          <w:szCs w:val="20"/>
          <w:color w:val="auto"/>
        </w:rPr>
      </w:pPr>
    </w:p>
    <w:p>
      <w:pPr>
        <w:ind w:left="380" w:right="300" w:firstLine="426"/>
        <w:spacing w:after="0" w:line="286" w:lineRule="auto"/>
        <w:rPr>
          <w:sz w:val="20"/>
          <w:szCs w:val="20"/>
          <w:color w:val="auto"/>
        </w:rPr>
      </w:pPr>
      <w:r>
        <w:rPr>
          <w:rFonts w:ascii="Arial" w:cs="Arial" w:eastAsia="Arial" w:hAnsi="Arial"/>
          <w:sz w:val="17"/>
          <w:szCs w:val="17"/>
          <w:color w:val="auto"/>
        </w:rPr>
        <w:t>The number of shares of our common stock that will be outstanding after this offering and the concurrent private placement is based on 447,612 shares of our Class A common stock (including the conversion of convertible promissory notes) and 242,993,239 shares of our Class B common stock (including the conversion of preferred stock) outstanding as of January 31, 2019 and excludes:</w:t>
      </w:r>
    </w:p>
    <w:p>
      <w:pPr>
        <w:spacing w:after="0" w:line="71" w:lineRule="exact"/>
        <w:rPr>
          <w:sz w:val="20"/>
          <w:szCs w:val="20"/>
          <w:color w:val="auto"/>
        </w:rPr>
      </w:pPr>
    </w:p>
    <w:p>
      <w:pPr>
        <w:ind w:left="1220" w:right="100" w:hanging="415"/>
        <w:spacing w:after="0" w:line="25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35,064,465 shares of our Class B common stock issuable upon the exercise of options to purchase shares of our Class B common stock outstanding as of January 31, 2019, with a weighted-average exercise price of $1.48 per share (other than 283,177 shares to be issued upon exercise of options to purchase Class B common stock by certain selling stockholders and the subsequent conversion of such shares into an equivalent number of shares of our Class A common stock in connection with the sale of such shares by such selling stockholders in this offering);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32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5432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160" w:hanging="415"/>
        <w:spacing w:after="0" w:line="27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1,147,500 shares of our Class B common stock issuable upon the exercise of options to purchase shares of our Class B common stock granted after January 31, 2019, with a weighted-average exercise price of $26.09 per share;</w:t>
      </w:r>
    </w:p>
    <w:p>
      <w:pPr>
        <w:spacing w:after="0" w:line="75" w:lineRule="exact"/>
        <w:rPr>
          <w:rFonts w:ascii="Arial" w:cs="Arial" w:eastAsia="Arial" w:hAnsi="Arial"/>
          <w:sz w:val="18"/>
          <w:szCs w:val="18"/>
          <w:color w:val="auto"/>
        </w:rPr>
      </w:pPr>
    </w:p>
    <w:p>
      <w:pPr>
        <w:ind w:left="1220" w:right="40" w:hanging="415"/>
        <w:spacing w:after="0" w:line="293" w:lineRule="auto"/>
        <w:tabs>
          <w:tab w:leader="none" w:pos="1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58,300,889 shares of our Class A common stock reserved for future issuance under our 2019 Equity Incentive Plan (2019 Plan), which will become effective in connection with this offering, including 34,000,000 new shares plus the number of shares (not to exceed 24,300,889 shares) (i) that remain available for grant of future awards under our 2011 Global Share Plan (2011 Plan), which shares will be added to the shares reserved under the 2019 Plan upon its effectiveness and (ii) any shares underlying outstanding stock awards granted under our 2011 Plan that expire, or are forfeited, cancelled, withheld or reacquired; plus an annual evergreen increase, as more fully described under the terms of the 2019 Plan described in the section titled “Executive Compensation—Equity Plans”; and</w:t>
      </w:r>
    </w:p>
    <w:p>
      <w:pPr>
        <w:spacing w:after="0" w:line="70" w:lineRule="exact"/>
        <w:rPr>
          <w:rFonts w:ascii="Arial" w:cs="Arial" w:eastAsia="Arial" w:hAnsi="Arial"/>
          <w:sz w:val="16"/>
          <w:szCs w:val="16"/>
          <w:color w:val="auto"/>
        </w:rPr>
      </w:pPr>
    </w:p>
    <w:p>
      <w:pPr>
        <w:ind w:left="1220" w:right="300" w:hanging="415"/>
        <w:spacing w:after="0" w:line="308" w:lineRule="auto"/>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9,000,000 shares of our Class A common stock reserved for future issuance under our 2019 Employee Stock Purchase Plan (ESPP), which includes an annual evergreen increase and will become effective in connection with this offering.</w:t>
      </w:r>
    </w:p>
    <w:p>
      <w:pPr>
        <w:spacing w:after="0" w:line="14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Upon the execution and delivery of the underwriting agreement related to this offering, any remaining shares available for issuance under our Fourth Amended and Restated 2011 Global Share Plan (2011 Plan) will become reserved for future issuance as Class A common stock under our 2019 Plan, and we will cease granting awards under our 2011 Plan. See the section titled “Executive Compensation—Equity Plans” for additional information.</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the information in this prospectus assumes:</w:t>
      </w:r>
    </w:p>
    <w:p>
      <w:pPr>
        <w:spacing w:after="0" w:line="131" w:lineRule="exact"/>
        <w:rPr>
          <w:sz w:val="20"/>
          <w:szCs w:val="20"/>
          <w:color w:val="auto"/>
        </w:rPr>
      </w:pPr>
    </w:p>
    <w:p>
      <w:pPr>
        <w:ind w:left="1220" w:right="280" w:hanging="41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220" w:right="60" w:hanging="415"/>
        <w:spacing w:after="0" w:line="259"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447,612 shares of our Class A common stock upon the automatic conversion of convertible promissory notes in the principal amount of $15.0 million plus accrued interest in connection with this offering, assuming a conversion date of January 31, 2019 and an assumed initial public offering price of $34.00 per share, the midpoint of the price range set forth on the cover page of this prospectus;</w:t>
      </w:r>
    </w:p>
    <w:p>
      <w:pPr>
        <w:spacing w:after="0" w:line="92" w:lineRule="exact"/>
        <w:rPr>
          <w:rFonts w:ascii="Arial" w:cs="Arial" w:eastAsia="Arial" w:hAnsi="Arial"/>
          <w:sz w:val="18"/>
          <w:szCs w:val="18"/>
          <w:color w:val="auto"/>
        </w:rPr>
      </w:pPr>
    </w:p>
    <w:p>
      <w:pPr>
        <w:ind w:left="1220" w:right="180" w:hanging="415"/>
        <w:spacing w:after="0" w:line="286" w:lineRule="auto"/>
        <w:tabs>
          <w:tab w:leader="none" w:pos="1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issuance of 2,941,176 shares of our Class A common stock to Salesforce Ventures LLC upon the closing of the concurrent private placement immediately subsequent to the closing of this offering, based upon the assumed initial public offering price of $34.00 per share, which is the midpoint of the estimated offering price range set forth on the cover page of this prospectus;</w:t>
      </w:r>
    </w:p>
    <w:p>
      <w:pPr>
        <w:spacing w:after="0" w:line="70" w:lineRule="exact"/>
        <w:rPr>
          <w:rFonts w:ascii="Arial" w:cs="Arial" w:eastAsia="Arial" w:hAnsi="Arial"/>
          <w:sz w:val="17"/>
          <w:szCs w:val="17"/>
          <w:color w:val="auto"/>
        </w:rPr>
      </w:pPr>
    </w:p>
    <w:p>
      <w:pPr>
        <w:ind w:left="1220" w:right="80" w:hanging="41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January 31, 2019 into 152,665,804 shares of our Class B common stock, which will occur immediately prior to the completion of this offering;</w:t>
      </w:r>
    </w:p>
    <w:p>
      <w:pPr>
        <w:spacing w:after="0" w:line="75" w:lineRule="exact"/>
        <w:rPr>
          <w:rFonts w:ascii="Arial" w:cs="Arial" w:eastAsia="Arial" w:hAnsi="Arial"/>
          <w:sz w:val="18"/>
          <w:szCs w:val="18"/>
          <w:color w:val="auto"/>
        </w:rPr>
      </w:pPr>
    </w:p>
    <w:p>
      <w:pPr>
        <w:ind w:left="1220" w:right="320" w:hanging="415"/>
        <w:spacing w:after="0" w:line="312"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exercise of the outstanding options described above (other than 283,177 shares to be issued upon exercise of options to purchase Class B common stock by certain selling stockholders and the subsequent conversion of such shares into an equivalent number of shares of our Class A common stock in connection with the sale of such shares by such selling stockholders in this offering); and</w:t>
      </w:r>
    </w:p>
    <w:p>
      <w:pPr>
        <w:spacing w:after="0" w:line="52" w:lineRule="exact"/>
        <w:rPr>
          <w:rFonts w:ascii="Arial" w:cs="Arial" w:eastAsia="Arial" w:hAnsi="Arial"/>
          <w:sz w:val="16"/>
          <w:szCs w:val="16"/>
          <w:color w:val="auto"/>
        </w:rPr>
      </w:pPr>
    </w:p>
    <w:p>
      <w:pPr>
        <w:ind w:left="1220" w:right="540" w:hanging="41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up to an additional 3,130,435 shares of Class A common stock to cover over-allotments.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24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763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6763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220" w:firstLine="426"/>
        <w:spacing w:after="0" w:line="255" w:lineRule="auto"/>
        <w:rPr>
          <w:sz w:val="20"/>
          <w:szCs w:val="20"/>
          <w:color w:val="auto"/>
        </w:rPr>
      </w:pPr>
      <w:r>
        <w:rPr>
          <w:rFonts w:ascii="Arial" w:cs="Arial" w:eastAsia="Arial" w:hAnsi="Arial"/>
          <w:sz w:val="18"/>
          <w:szCs w:val="18"/>
          <w:color w:val="auto"/>
        </w:rPr>
        <w:t>The following summary consolidated statements of operations data for the years ended January 31, 2017, 2018 and 2019 and the consolidated balance sheet data as of January 31,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Year Ended January 31,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gridSpan w:val="8"/>
          </w:tcPr>
          <w:p>
            <w:pPr>
              <w:jc w:val="right"/>
              <w:ind w:right="531"/>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60,817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151,478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330,517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30,780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120,698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15,733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82,707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27,091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44,514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125,531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before provision for income taxes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Distributed earnings attributable to participating securities</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r>
              <w:rPr>
                <w:rFonts w:ascii="Arial" w:cs="Arial" w:eastAsia="Arial" w:hAnsi="Arial"/>
                <w:sz w:val="15"/>
                <w:szCs w:val="15"/>
                <w:color w:val="auto"/>
              </w:rPr>
              <w:t>(2)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in computing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attributable to common stockholders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78,119,865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84,483,094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78,119,865</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116,005,681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 per share attributable to common stockholders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in computing pro forma net income per share</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attributable to common stockholders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237,289,926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268,812,513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580" w:type="dxa"/>
            <w:vAlign w:val="bottom"/>
            <w:gridSpan w:val="2"/>
          </w:tcPr>
          <w:p>
            <w:pPr>
              <w:jc w:val="right"/>
              <w:ind w:right="8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4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654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0" w:hanging="41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January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$1,119</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360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1,369</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8,953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2,913</w:t>
            </w:r>
          </w:p>
        </w:tc>
      </w:tr>
      <w:tr>
        <w:trPr>
          <w:trHeight w:val="27"/>
        </w:trPr>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1,039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10,329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8,941</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800" w:right="80" w:hanging="414"/>
        <w:spacing w:after="0" w:line="25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Consolidated Balance Sheet Data:</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Marketable securities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Working capital</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 current and non-current</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Convertible promissory notes, net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Convertible preferred stock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Accumulated deficit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stockholders’ (deficit) equity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As of January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Pro</w:t>
            </w:r>
          </w:p>
        </w:tc>
        <w:tc>
          <w:tcPr>
            <w:tcW w:w="860" w:type="dxa"/>
            <w:vAlign w:val="bottom"/>
            <w:tcBorders>
              <w:top w:val="single" w:sz="8" w:color="auto"/>
            </w:tcBorders>
          </w:tcPr>
          <w:p>
            <w:pPr>
              <w:jc w:val="center"/>
              <w:ind w:left="75"/>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Actual</w:t>
            </w:r>
          </w:p>
        </w:tc>
        <w:tc>
          <w:tcPr>
            <w:tcW w:w="1160" w:type="dxa"/>
            <w:vAlign w:val="bottom"/>
            <w:vMerge w:val="continue"/>
          </w:tcPr>
          <w:p>
            <w:pPr>
              <w:spacing w:after="0"/>
              <w:rPr>
                <w:sz w:val="12"/>
                <w:szCs w:val="12"/>
                <w:color w:val="auto"/>
              </w:rPr>
            </w:pPr>
          </w:p>
        </w:tc>
        <w:tc>
          <w:tcPr>
            <w:tcW w:w="92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900" w:type="dxa"/>
            <w:vAlign w:val="bottom"/>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92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80"/>
        </w:trPr>
        <w:tc>
          <w:tcPr>
            <w:tcW w:w="9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900" w:type="dxa"/>
            <w:vAlign w:val="bottom"/>
          </w:tcPr>
          <w:p>
            <w:pPr>
              <w:jc w:val="right"/>
              <w:ind w:right="112"/>
              <w:spacing w:after="0"/>
              <w:rPr>
                <w:sz w:val="20"/>
                <w:szCs w:val="20"/>
                <w:color w:val="auto"/>
              </w:rPr>
            </w:pPr>
            <w:r>
              <w:rPr>
                <w:rFonts w:ascii="Arial" w:cs="Arial" w:eastAsia="Arial" w:hAnsi="Arial"/>
                <w:sz w:val="18"/>
                <w:szCs w:val="18"/>
                <w:color w:val="auto"/>
                <w:w w:val="96"/>
              </w:rPr>
              <w:t>$ 63,624</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$ 63,624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$ 478,689</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auto"/>
              </w:rPr>
              <w:t>112,777</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112,777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112,777</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auto"/>
              </w:rPr>
              <w:t>124,378</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124,378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539,443</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auto"/>
              </w:rPr>
              <w:t>354,565</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354,565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768,691</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auto"/>
              </w:rPr>
              <w:t>125,773</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125,773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125,773</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auto"/>
              </w:rPr>
              <w:t>14,858</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auto"/>
              </w:rPr>
              <w:t>159,552</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ind w:right="52"/>
              <w:spacing w:after="0"/>
              <w:rPr>
                <w:sz w:val="20"/>
                <w:szCs w:val="20"/>
                <w:color w:val="auto"/>
              </w:rPr>
            </w:pPr>
            <w:r>
              <w:rPr>
                <w:rFonts w:ascii="Arial" w:cs="Arial" w:eastAsia="Arial" w:hAnsi="Arial"/>
                <w:sz w:val="18"/>
                <w:szCs w:val="18"/>
                <w:color w:val="auto"/>
              </w:rPr>
              <w:t>(25,153)</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(25,153)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30"/>
        </w:trPr>
        <w:tc>
          <w:tcPr>
            <w:tcW w:w="900" w:type="dxa"/>
            <w:vAlign w:val="bottom"/>
          </w:tcPr>
          <w:p>
            <w:pPr>
              <w:jc w:val="right"/>
              <w:ind w:right="52"/>
              <w:spacing w:after="0"/>
              <w:rPr>
                <w:sz w:val="20"/>
                <w:szCs w:val="20"/>
                <w:color w:val="auto"/>
              </w:rPr>
            </w:pPr>
            <w:r>
              <w:rPr>
                <w:rFonts w:ascii="Arial" w:cs="Arial" w:eastAsia="Arial" w:hAnsi="Arial"/>
                <w:sz w:val="18"/>
                <w:szCs w:val="18"/>
                <w:color w:val="auto"/>
              </w:rPr>
              <w:t>(7,439)</w:t>
            </w:r>
          </w:p>
        </w:tc>
        <w:tc>
          <w:tcPr>
            <w:tcW w:w="1160" w:type="dxa"/>
            <w:vAlign w:val="bottom"/>
          </w:tcPr>
          <w:p>
            <w:pPr>
              <w:jc w:val="right"/>
              <w:ind w:right="174"/>
              <w:spacing w:after="0"/>
              <w:rPr>
                <w:sz w:val="20"/>
                <w:szCs w:val="20"/>
                <w:color w:val="auto"/>
              </w:rPr>
            </w:pPr>
            <w:r>
              <w:rPr>
                <w:rFonts w:ascii="Arial" w:cs="Arial" w:eastAsia="Arial" w:hAnsi="Arial"/>
                <w:sz w:val="18"/>
                <w:szCs w:val="18"/>
                <w:color w:val="auto"/>
              </w:rPr>
              <w:t>167,332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581,458</w:t>
            </w: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2">
            <w:col w:w="7280" w:space="720"/>
            <w:col w:w="3020"/>
          </w:cols>
          <w:pgMar w:left="240" w:top="459" w:right="639" w:bottom="1440" w:gutter="0" w:footer="0" w:header="0"/>
          <w:type w:val="continuous"/>
        </w:sectPr>
      </w:pPr>
    </w:p>
    <w:p>
      <w:pPr>
        <w:ind w:left="800" w:right="80" w:hanging="414"/>
        <w:spacing w:after="0" w:line="284"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 forma gives effect to (a) the automatic conversion of all outstanding shares of our convertible preferred stock as of January 31, 2019 into 152,665,804 shares of Class B common stock immediately prior to the completion of this offering, (b) the filing of our amended and restated certificate of incorporation immediately prior to the completion of this offering and (c) the issuance of 447,612 shares of Class A common stock upon conversion of outstanding convertible promissory notes (included in other liabilities, non-current on our consolidated balance sheet) as of January 31, 2019 at an assumed initial public offering price of $34.00 per share, the midpoint of the price range set forth on the cover page of this prospectus, in the principal amount of $15.0 million plus accrued interest upon the completion of this offering.</w:t>
      </w:r>
    </w:p>
    <w:p>
      <w:pPr>
        <w:spacing w:after="0" w:line="4" w:lineRule="exact"/>
        <w:rPr>
          <w:rFonts w:ascii="Arial" w:cs="Arial" w:eastAsia="Arial" w:hAnsi="Arial"/>
          <w:sz w:val="16"/>
          <w:szCs w:val="16"/>
          <w:color w:val="auto"/>
        </w:rPr>
      </w:pPr>
    </w:p>
    <w:p>
      <w:pPr>
        <w:ind w:left="800" w:hanging="41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 forma as adjusted gives further effect to (a) the pro forma items described immediately above, (b) our issuance and sale of</w:t>
      </w:r>
    </w:p>
    <w:p>
      <w:pPr>
        <w:spacing w:after="0" w:line="9" w:lineRule="exact"/>
        <w:rPr>
          <w:rFonts w:ascii="Arial" w:cs="Arial" w:eastAsia="Arial" w:hAnsi="Arial"/>
          <w:sz w:val="18"/>
          <w:szCs w:val="18"/>
          <w:color w:val="auto"/>
        </w:rPr>
      </w:pPr>
    </w:p>
    <w:p>
      <w:pPr>
        <w:ind w:left="800" w:right="80"/>
        <w:spacing w:after="0" w:line="269" w:lineRule="auto"/>
        <w:rPr>
          <w:rFonts w:ascii="Arial" w:cs="Arial" w:eastAsia="Arial" w:hAnsi="Arial"/>
          <w:sz w:val="18"/>
          <w:szCs w:val="18"/>
          <w:color w:val="auto"/>
        </w:rPr>
      </w:pPr>
      <w:r>
        <w:rPr>
          <w:rFonts w:ascii="Arial" w:cs="Arial" w:eastAsia="Arial" w:hAnsi="Arial"/>
          <w:sz w:val="17"/>
          <w:szCs w:val="17"/>
          <w:color w:val="auto"/>
        </w:rPr>
        <w:t>12,852,610 shares of Class A common stock in this offering and the concurrent private placement at an assumed initial public offering price of $34.00 per share, the midpoint of the price range set forth on the cover page of this prospectus, after deducting the estimated underwriting discounts and commissions and estimated expenses related to the offering and the concurrent private placement payable by us, and (c) the conversion of 10,674,954 shares of our Class B common stock held by certain selling stockholders into an equivalent number of our Class A common stock upon the sale by the selling stockholders in this offering, as well as the issuance of 283,177 shares of our Class B common stock and the subsequent conversion of such shares into an equivalent number of shares of our Class A common stock upon the exercise of options held by certain selling stockholders in connection with the sale of such shares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110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11106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spacing w:after="0" w:line="273" w:lineRule="auto"/>
        <w:rPr>
          <w:sz w:val="20"/>
          <w:szCs w:val="20"/>
          <w:color w:val="auto"/>
        </w:rPr>
      </w:pPr>
      <w:r>
        <w:rPr>
          <w:rFonts w:ascii="Arial" w:cs="Arial" w:eastAsia="Arial" w:hAnsi="Arial"/>
          <w:sz w:val="17"/>
          <w:szCs w:val="17"/>
          <w:color w:val="auto"/>
        </w:rPr>
        <w:t>by such selling stockholders in this offering. Each $1.00 increase (decrease) in the assumed initial public offering price of $34.00 per share of Class A common stock, the midpoint of the price range set forth on the cover page of this prospectus, would increase (decrease) the pro forma as adjusted amount of each of cash and cash equivalents, working capital, total assets and total stockholders’ (deficit) equity by approximately $9.4 million. Similarly, each increase (decrease) of 1.0 million shares in the number of shares offered by us at the assumed initial public offering price per share would increase (decrease) the pro forma as adjusted amount of each of cash and cash equivalents, working capital, total assets and total stockholders’ (deficit) equity by approximately $32.1 million.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24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platform, reputation, brand, financial condition, results of operations and future prospects. In such event, the market price of our Class A common stock could decline, and you could lose all or part of your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73"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7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18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In addition, our user growth rate may slow in the future as our market penetration rates increase and we turn our focus to upgrading our free hosts to a paid Zoom Meeting plan rather than growing the total number of users. If we are not able to continue to expand our user base or fail to upgrade our free hosts to a paid Zoom Meeting plan, our revenue may grow more slowly than expected or decline.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prospects and future results of operations.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76"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legacy web-based meeting providers, including Webex and Skype for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bundled productivity solutions providers with basic video functionality, including Google;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point solutions providers, including LogMeIn.</w:t>
      </w:r>
    </w:p>
    <w:p>
      <w:pPr>
        <w:spacing w:after="0" w:line="225"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6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We currently serve our users from 13 co-located data centers in Australia, Brazil, Canada, China, Germany, India, Japan, the Netherlands and the United States.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Additionally, if our data centers are unable to keep up with our increasing needs for capacity, customers may experience delays as we seek to obtain additional capacity, which could harm our business.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97" w:lineRule="exact"/>
        <w:rPr>
          <w:sz w:val="20"/>
          <w:szCs w:val="20"/>
          <w:color w:val="auto"/>
        </w:rPr>
      </w:pPr>
    </w:p>
    <w:p>
      <w:pPr>
        <w:ind w:left="200" w:right="480"/>
        <w:spacing w:after="0" w:line="375" w:lineRule="auto"/>
        <w:rPr>
          <w:sz w:val="20"/>
          <w:szCs w:val="20"/>
          <w:color w:val="auto"/>
        </w:rPr>
      </w:pPr>
      <w:r>
        <w:rPr>
          <w:rFonts w:ascii="Arial" w:cs="Arial" w:eastAsia="Arial" w:hAnsi="Arial"/>
          <w:sz w:val="15"/>
          <w:szCs w:val="15"/>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Unlike traditional communications and collaborations technologies, our services depend on our users’ high-speed broadband access to the internet, usually provided through a cable or digital subscriber line connection.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7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6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As we increase sales to large organizations, our sales cycles could lengthen, and we could experience greater deployment challenges.</w:t>
      </w:r>
    </w:p>
    <w:p>
      <w:pPr>
        <w:spacing w:after="0" w:line="129"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1"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awareness of the communications and collaboration technologies category generally;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28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79"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28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Further, we are currently recruiting a new Head of Worldwide Sales or role with similar responsibility, which will require significant management time and resources.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8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73"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2018 we were made aware of a vulnerability in the Zoom Meeting client for Windows that could result in potential exposure of a Zoom user’s password. Additionally, in 2018, a cybersecurity company discovered a vulnerability in our software that could be exploited by hackers to exert certain meeting controls. While we were able to deploy updates to the software addressing these vulnerabilities and we are not aware of any customers being affected or meetings compromised by these vulnerabilities,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premiums due to cybersecurity incidents, increased costs to address cybersecurity issues and attempts to prevent future incidents, and harm to our business and our reputation because of any such incident.</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2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86"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increase our expenses in the future, which could prevent us from achieving or maintaining profitability.</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Although we generated net income of $7.6 million for the fiscal year ended January 31, 2019, we have incurred net losses in the past, including a net loss of $3.8 million for the fiscal year ended January 31, 2018, and could incur net losses in the future.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Since our founding in 2011, we have experienced rapid growth. For example, our headcount has grown to 1,702 full-time employees as of January 31, 2019,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87"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33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8"/>
          <w:szCs w:val="18"/>
          <w:b w:val="1"/>
          <w:bCs w:val="1"/>
          <w:color w:val="auto"/>
        </w:rPr>
        <w:t>-</w:t>
      </w:r>
      <w:r>
        <w:rPr>
          <w:rFonts w:ascii="Arial" w:cs="Arial" w:eastAsia="Arial" w:hAnsi="Arial"/>
          <w:sz w:val="18"/>
          <w:szCs w:val="18"/>
          <w:color w:val="auto"/>
        </w:rPr>
        <w:t>will employees, and we do not maintain any key person life insurance policies. The loss of any member of our senior management team would harm our business.</w:t>
      </w:r>
    </w:p>
    <w:p>
      <w:pPr>
        <w:spacing w:after="0" w:line="29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For example, our former Head of Worldwide Sales recently transitioned from this position and as one of our executive officers to a corporate strategy role with us, and while he will continue to be a key contributor, we will need to spend significant resources on recruiting a new Head of Worldwide Sales or role with similar responsibility. If we fail to attract new personnel or fail to retain and motivate our current personnel, our business could be harmed.</w:t>
      </w:r>
    </w:p>
    <w:p>
      <w:pPr>
        <w:spacing w:after="0" w:line="17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66"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For example, we were recently informed of a personal relationship involving our Chief Financial Officer and an individual with whom she worked, while they were both at her prior employer. After reviewing the facts and circumstances of the situation, we confirmed that our Chief Financial Officer can and should continue to serve in her role. However, these are the types of situations that will continue to challenge our culture of transparency, especially as we become a public company and operate under the rules and responsibilities to which public companies are subject.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In addition, many of our employees may be able to receive significant proceeds from sales of our equity in the public markets after our initial public offering, which may reduce their motivation to continue to work for us. Moreover, this offering could create disparities in wealth among our employees, which may harm our culture and relations among employees and our business.</w:t>
      </w:r>
    </w:p>
    <w:p>
      <w:pPr>
        <w:spacing w:after="0" w:line="28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62" w:lineRule="exact"/>
        <w:rPr>
          <w:sz w:val="20"/>
          <w:szCs w:val="20"/>
          <w:color w:val="auto"/>
        </w:rPr>
      </w:pPr>
    </w:p>
    <w:p>
      <w:pPr>
        <w:ind w:left="200" w:right="120" w:firstLine="441"/>
        <w:spacing w:after="0" w:line="287" w:lineRule="auto"/>
        <w:rPr>
          <w:sz w:val="20"/>
          <w:szCs w:val="20"/>
          <w:color w:val="auto"/>
        </w:rPr>
      </w:pPr>
      <w:r>
        <w:rPr>
          <w:rFonts w:ascii="Arial" w:cs="Arial" w:eastAsia="Arial" w:hAnsi="Arial"/>
          <w:sz w:val="16"/>
          <w:szCs w:val="16"/>
          <w:color w:val="auto"/>
        </w:rPr>
        <w:t>We have customers in over 180 countries, and 18% of our revenue in the fiscal year ended January 31, 2019 was generated from customers in APAC and EMEA. In fiscal 2018, we established a physical sales presence in Australia and the United Kingdom. Additionally, as of January 31, 2019, we had five additional international sales locations, and we plan to add local sales support in further select international markets over time. We also operate research and development centers in China, employing over 500 employees as of January 31, 2019.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78" w:lineRule="exact"/>
        <w:rPr>
          <w:sz w:val="20"/>
          <w:szCs w:val="20"/>
          <w:color w:val="auto"/>
        </w:rPr>
      </w:pPr>
    </w:p>
    <w:p>
      <w:pPr>
        <w:ind w:left="1060" w:right="30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75" w:lineRule="exact"/>
        <w:rPr>
          <w:rFonts w:ascii="Arial" w:cs="Arial" w:eastAsia="Arial" w:hAnsi="Arial"/>
          <w:sz w:val="18"/>
          <w:szCs w:val="18"/>
          <w:color w:val="auto"/>
        </w:rPr>
      </w:pPr>
    </w:p>
    <w:p>
      <w:pPr>
        <w:ind w:left="1060" w:right="480" w:hanging="424"/>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86" w:lineRule="exact"/>
        <w:rPr>
          <w:rFonts w:ascii="Arial" w:cs="Arial" w:eastAsia="Arial" w:hAnsi="Arial"/>
          <w:sz w:val="18"/>
          <w:szCs w:val="18"/>
          <w:color w:val="auto"/>
        </w:rPr>
      </w:pPr>
    </w:p>
    <w:p>
      <w:pPr>
        <w:ind w:left="1060" w:right="140" w:hanging="424"/>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86"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75" w:lineRule="exact"/>
        <w:rPr>
          <w:rFonts w:ascii="Arial" w:cs="Arial" w:eastAsia="Arial" w:hAnsi="Arial"/>
          <w:sz w:val="18"/>
          <w:szCs w:val="18"/>
          <w:color w:val="auto"/>
        </w:rPr>
      </w:pPr>
    </w:p>
    <w:p>
      <w:pPr>
        <w:ind w:left="1060" w:right="40" w:hanging="424"/>
        <w:spacing w:after="0" w:line="34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30" w:lineRule="exact"/>
        <w:rPr>
          <w:rFonts w:ascii="Arial" w:cs="Arial" w:eastAsia="Arial" w:hAnsi="Arial"/>
          <w:sz w:val="18"/>
          <w:szCs w:val="18"/>
          <w:color w:val="auto"/>
        </w:rPr>
      </w:pPr>
    </w:p>
    <w:p>
      <w:pPr>
        <w:ind w:left="1060" w:right="460" w:hanging="424"/>
        <w:spacing w:after="0" w:line="308"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1"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94"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sales to large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or perceived privacy or security breaches;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33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28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2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receive, store, process and use personal information and other user content. There are numerous federal, state, local and international laws and regulations regarding privacy, data protection, information security and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89"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93"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manner, which we may be unable to complete and may limit our ability to store and process user data or develop new services and features.</w:t>
      </w:r>
    </w:p>
    <w:p>
      <w:pPr>
        <w:spacing w:after="0" w:line="34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69"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$8.9 million and $22.0 million for the fiscal years ended January 31, 2018 and 2019,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78"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If we are found to be in violation of U.S. economic sanctions or export control laws,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9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8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 ended January 31, 2019, 6.4% of our revenue and 12.3% of our expenses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87"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w:t>
      </w:r>
    </w:p>
    <w:p>
      <w:pPr>
        <w:spacing w:after="0" w:line="18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addition, our current products, as well as products, features and functionality that we may introduce in the future, may require us to compensate or reimburse third parties. For example, our new cloud phone system, Zoom Phone, is a private branch exchange phone solution that requires us to compensate carriers that operate the public switched telephone network.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297"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Market opportunity estimates and growth forecasts included in this prospectus, including those we have generated ourselves, are subject to significant uncertainty and are based on assumptions and estimates that may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in this prospectus, our business could fail to grow for a variety of reasons outside of our control, including competition in our industry. If any of these risks materialize, it could harm our business and prospects. For more information regarding the estimates of market opportunity and the forecasts of market growth included in this prospectus, see the section titled “Market and Industry Data.”</w:t>
      </w:r>
    </w:p>
    <w:p>
      <w:pPr>
        <w:spacing w:after="0" w:line="29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92"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78" w:lineRule="exact"/>
        <w:rPr>
          <w:sz w:val="20"/>
          <w:szCs w:val="20"/>
          <w:color w:val="auto"/>
        </w:rPr>
      </w:pPr>
    </w:p>
    <w:p>
      <w:pPr>
        <w:jc w:val="both"/>
        <w:ind w:left="200" w:right="340" w:firstLine="441"/>
        <w:spacing w:after="0" w:line="286" w:lineRule="auto"/>
        <w:rPr>
          <w:sz w:val="20"/>
          <w:szCs w:val="20"/>
          <w:color w:val="auto"/>
        </w:rPr>
      </w:pPr>
      <w:r>
        <w:rPr>
          <w:rFonts w:ascii="Arial" w:cs="Arial" w:eastAsia="Arial" w:hAnsi="Arial"/>
          <w:sz w:val="17"/>
          <w:szCs w:val="17"/>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recently introduced product, 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As we expand internationally, we may be subject to telecommunications, consumer protection, privacy, data protection and other laws and regulations in the foreign countries where we offer our products. In the future, we intend to offer Zoom Phone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8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For example, on February 28, 2019, Wave Linx LLC (Wave Linx) filed a lawsuit against us in the U.S. District Court for the District of Delaware alleging that we infringe a patent owned by Wave Linx. Also, on April 5, 2019, Krush Technologies, Inc. (Krush) filed a lawsuit against us in the Northern District Court of California, alleging that we infringe three patents that Krush acquired. Krush is seeking a permanent injunction</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against infringement, treble damages and attorneys’ fees. While we intend to defend these lawsuits vigorously and believe that we have valid defenses to these claims, litigation can be costly and time-consuming,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129"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as of March 22, 2019, we have two issued patents and seven pending patent applications.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76"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 large portion of our customers authorize us to bill their credit card accounts directly for our products. If customers pay for their subscriptions with stolen credit cards, we could incur substantial third-party vendor costs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14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changes in the valuation of, or our ability to use, deferred tax assets and liabilities, the applicability of withholding taxes and effects from acquisitions.</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240" w:top="459" w:right="5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As of January 31, 2019, we had $26.9 million of U.S. federal and $10.7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calculation and have determined that none of the operating losses will expire solely due to Section 382 limitation(s). However, we may experience ownership changes as a result of this offering or in the future as a result of subsequent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40"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 xml:space="preserve">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recently adopted </w:t>
      </w:r>
      <w:r>
        <w:rPr>
          <w:rFonts w:ascii="Arial" w:cs="Arial" w:eastAsia="Arial" w:hAnsi="Arial"/>
          <w:sz w:val="16"/>
          <w:szCs w:val="16"/>
          <w:i w:val="1"/>
          <w:iCs w:val="1"/>
          <w:color w:val="auto"/>
        </w:rPr>
        <w:t>Accounting Standards Codification (ASC)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606, Revenue from Contracts with Customers </w:t>
      </w:r>
      <w:r>
        <w:rPr>
          <w:rFonts w:ascii="Arial" w:cs="Arial" w:eastAsia="Arial" w:hAnsi="Arial"/>
          <w:sz w:val="16"/>
          <w:szCs w:val="16"/>
          <w:color w:val="auto"/>
        </w:rPr>
        <w:t>(ASC 606), effective as of February 1, 2017, utilizing the full retrospective method of adoption.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of ASC 606 impacted the timing and manner in which we report our revenue and expenses, especially with respect to our sales commissions. See Note 1 to our consolidated financial statements included elsewhere in this prospectus for more information. It is also difficult to predict the impact of future changes to accounting principles or our accounting policies, any of which could harm our business.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86"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publically release certain portions of our proprietary source code. We could also be required to expend substantial time and resources to re-engineer some of our software. Any of the foregoing could disrupt and harm our business.</w:t>
      </w:r>
    </w:p>
    <w:p>
      <w:pPr>
        <w:spacing w:after="0" w:line="17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96"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(the Exchange Act), the Sarbanes-Oxley Act of 2002 (the Sarbanes-Oxley Act) and the rules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6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For example, we will need to implement new revenue recognition modules into our existing enterprise resource planning system to facilitate the preparation of our financial statements under ASC 606. We will also be required to adopt</w:t>
      </w:r>
    </w:p>
    <w:p>
      <w:pPr>
        <w:spacing w:after="0" w:line="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 xml:space="preserve">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among other things, lessees to recognize most leases on-balance sheet via a right of use asset and lease liability, beginning February 1, 2019.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8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8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have been approved to list our Class A common stock on The Nasdaq Global Select Market under the symbol “ZM.”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your ability to sell your shares of our Class A common stock when desired or the prices that you may obtain for your shares.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was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as you might be unable to sell your shares at or above the price you paid in this offering. Factors that could cause fluctuations in the trading price of our Class A common stock include the following:</w:t>
      </w:r>
    </w:p>
    <w:p>
      <w:pPr>
        <w:spacing w:after="0" w:line="95"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5620" w:right="4920" w:hanging="4984"/>
        <w:spacing w:after="0" w:line="536" w:lineRule="auto"/>
        <w:tabs>
          <w:tab w:leader="none" w:pos="10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volatility in the trading prices and trading volumes of technology stocks; 38</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70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9"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b w:val="1"/>
          <w:bCs w:val="1"/>
          <w:i w:val="1"/>
          <w:iCs w:val="1"/>
          <w:color w:val="auto"/>
        </w:rPr>
        <w:t>The dual class structure of our common stock as contained in our amended and restated certificate of incorporation has the effect of concentrating voting control with those stockholders who held our stock prior to this offering and the concurrent private placement, including our executive officers, employees and directors and their affiliates, limiting your ability to influence corporate matters.</w:t>
      </w:r>
    </w:p>
    <w:p>
      <w:pPr>
        <w:spacing w:after="0" w:line="5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Class B common stock has 10 votes per share, and our Class A common stock, which is the stock we are offering in this initial public offering and the concurrent private placement, has one vote per share. The holders of our outstanding Class B common stock will hold 98.9% of the voting power of our outstanding capital stock following this offering and the concurrent private placement, with our directors, executive officers and 5% stockholders and their respective affiliates holding 64.9% of such voting power in the aggregate. Our founder, President and Chief Executive Officer, Eric S. Yuan, will hold approximately 19.1% of our outstanding capital stock but will control approximately 20.9% of the voting power of our outstanding capital stock following the completion of this offering and the concurrent private placement. Therefore, these holders will have significant influence over our management and affairs and over all matters requiring stockholder approval, including</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8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you purchase our Class A common stock in this offering, you will incur immediate and substantial dilution in the book value of your investment.</w:t>
      </w:r>
    </w:p>
    <w:p>
      <w:pPr>
        <w:spacing w:after="0" w:line="15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Class A and Class B common stock outstanding immediately following the completion of this offering. Therefore, if you purchase shares of our Class A common stock in this offering at the initial public offering price of $34.00 per share, the midpoint of the price range set forth on the cover of this prospectus, you will experience immediate dilution of $31.74 per share, the difference between the price per share you pay for our Class A common stock and its pro forma net tangible book value per share as of January 31, 2019, after giving effect to the issuance of shares of our Class A common stock in this offering and the concurrent private placement. This dilution is due in large part to the fact that our earlier investors paid substantially less than the initial public offering price when they purchased their shares of Class B common stock. In addition, we have issued options to acquire our Class B common stock at prices significantly below the initial public offering price. To the extent outstanding options are ultimately exercised, there will be further dilution to investors purchasing our Class A common stock in this offering. In addition, if the underwriters exercise their option to purchase additional shares or if we issue additional equity securities, you will experience additional dilution.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issue additional securities following the completion of this offering.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296"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net proceeds from this offering and the concurrent private placement and may invest or spend the proceeds in ways with which you do not agree and in ways that may not yield a return.</w:t>
      </w:r>
    </w:p>
    <w:p>
      <w:pPr>
        <w:spacing w:after="0" w:line="6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and the concurrent private placement. Our management will have broad discretion over the use of net proceeds from this offering and the concurrent private placement,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and the concurrent private placement, their ultimate use may vary substantially from their currently intended use. Our failure to apply the net proceeds of this offering and the concurrent private placement effectively could impair our ability to pursue our growth strategy or could require us to raise additional capital.</w:t>
      </w:r>
    </w:p>
    <w:p>
      <w:pPr>
        <w:spacing w:after="0" w:line="275"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Sales of a substantial number of shares of our Class A common stock and Class B common stock (after automatically converting to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equityholders have substantial unrecognized gains on the value of the equity they hold based upon the price of this offering, and therefore they may take steps to sell their shares or otherwise secure the unrecognized gains on those shares.</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Based on shares outstanding as of January 31, 2019, upon the completion of this offering, we will have outstanding a total of 24,258,353 shares of Class A common stock and 232,318,285 shares of Class B common stock, assuming no exercise of the underwriters’ option to purchase additional shares and no exercise of outstanding options, other than 283,177 shares to be issued upon the exercise of options to purchase Class B common stock by certain selling stockholders and sold in this offering, after giving effect to the conversion of all outstanding shares of our preferred stock into shares of Class B common stock immediately upon the completion of this offering and after giving effect to the conversion of 10,958,131 shares of Class B common stock into Class A common stock upon the sale of such shares by the selling stockholders. Of these shares, only the shares of Class A common stock sold in this offering will be freely tradable, without restriction, in the public market immediately after the offering and the concurrent private placement. All of our executive officers and directors and the holders of substantially all the shares of our capital stock and securities convertible into or exchangeable for our capital stock have entered into market standoff agreements with us or have entered or will enter into lock-up agreements with the underwriters that restrict their ability to transfer shares of our capital stock during the period ending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subject to specified exceptions. We refer to such period as the lock-up period. We and the underwriters may permit certain stockholders who are subject to these market standoff agreements or lock-up agreements to sell shares prior to the expiration of the lock-up period. After the end of the lock-up period, all shares of Class A and Class B common stock outstanding as of March 31, 2019 will become eligible for sale, of which 83,045,414 shares held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by directors, executive officers and other affiliates will be subject to volume limitations under Rule 144 under the Securities Act of 1933, as amended (the Securities Act) and various vesting agreements.</w:t>
      </w:r>
    </w:p>
    <w:p>
      <w:pPr>
        <w:spacing w:after="0" w:line="17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addition, as of January 31, 2019, there were 35,064,465 shares of Class B common stock subject to outstanding options. We intend to register all of the shares of Class A common stock issuable upon conversion of the shares of Class B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such options are exercised, subject to the lock-up agreements described above and compliance with applicable securities laws.</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of January 31, 2019, holders of 156,171,668 shares of our Class B common stock, including shares issuable upon the conversion of outstanding shares of preferred stock, have rights, subject to some conditions, to require us to file registration statements for the public resale of the Class A common stock issuable upon conversion of such shares or to include such shares in registration statements that we may file on our behalf or for other stockholders. See “Shares Eligible for Future Sale” and “Underwriters.”</w:t>
      </w:r>
    </w:p>
    <w:p>
      <w:pPr>
        <w:spacing w:after="0" w:line="295" w:lineRule="exact"/>
        <w:rPr>
          <w:sz w:val="20"/>
          <w:szCs w:val="20"/>
          <w:color w:val="auto"/>
        </w:rPr>
      </w:pPr>
    </w:p>
    <w:p>
      <w:pPr>
        <w:ind w:left="200" w:right="24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There are provisions in our certificate of incorporation and bylaws, as they will be in effect following this offering, that may make it difficult for a third party to acquire, or attempt to acquire, control of Zoom, even if a change in control was considered favorable by our stockholders.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such as:</w:t>
      </w:r>
    </w:p>
    <w:p>
      <w:pPr>
        <w:spacing w:after="0" w:line="131"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dual class common stock structure as described above.</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2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will provide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6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29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30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will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95"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62"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this offering, (b) in which we have total annual gross revenue of over $1.07 billion or (c) in which we are deemed to be a large accelerated filer, which means the market value of our common stock held by non-affiliates exceeds $700 million as of the prior July 31 and</w:t>
      </w:r>
    </w:p>
    <w:p>
      <w:pPr>
        <w:spacing w:after="0" w:line="1" w:lineRule="exact"/>
        <w:rPr>
          <w:sz w:val="20"/>
          <w:szCs w:val="20"/>
          <w:color w:val="auto"/>
        </w:rPr>
      </w:pPr>
    </w:p>
    <w:p>
      <w:pPr>
        <w:ind w:left="200" w:right="220" w:firstLine="4"/>
        <w:spacing w:after="0" w:line="254" w:lineRule="auto"/>
        <w:tabs>
          <w:tab w:leader="none" w:pos="4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4"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contains estimates and information concerning our industry, including market position and the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9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 of these independent industry publications is provided below:</w:t>
      </w:r>
    </w:p>
    <w:p>
      <w:pPr>
        <w:spacing w:after="0" w:line="76" w:lineRule="exact"/>
        <w:rPr>
          <w:sz w:val="20"/>
          <w:szCs w:val="20"/>
          <w:color w:val="auto"/>
        </w:rPr>
      </w:pPr>
    </w:p>
    <w:p>
      <w:pPr>
        <w:ind w:left="1060" w:right="18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Forbes Media LLC, </w:t>
      </w:r>
      <w:r>
        <w:rPr>
          <w:rFonts w:ascii="Arial" w:cs="Arial" w:eastAsia="Arial" w:hAnsi="Arial"/>
          <w:sz w:val="18"/>
          <w:szCs w:val="18"/>
          <w:i w:val="1"/>
          <w:iCs w:val="1"/>
          <w:color w:val="auto"/>
        </w:rPr>
        <w:t>The Connected Culture: Unleashing the Power of Video in Everyday Collaboration</w:t>
      </w:r>
      <w:r>
        <w:rPr>
          <w:rFonts w:ascii="Arial" w:cs="Arial" w:eastAsia="Arial" w:hAnsi="Arial"/>
          <w:sz w:val="18"/>
          <w:szCs w:val="18"/>
          <w:color w:val="auto"/>
        </w:rPr>
        <w:t>, October 30, 2017 (commissioned by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Forrester, </w:t>
      </w:r>
      <w:r>
        <w:rPr>
          <w:rFonts w:ascii="Arial" w:cs="Arial" w:eastAsia="Arial" w:hAnsi="Arial"/>
          <w:sz w:val="18"/>
          <w:szCs w:val="18"/>
          <w:i w:val="1"/>
          <w:iCs w:val="1"/>
          <w:color w:val="auto"/>
        </w:rPr>
        <w:t>Information Worker Population estimate 2018 Commissioned by Morgan Stanley</w:t>
      </w:r>
      <w:r>
        <w:rPr>
          <w:rFonts w:ascii="Arial" w:cs="Arial" w:eastAsia="Arial" w:hAnsi="Arial"/>
          <w:sz w:val="18"/>
          <w:szCs w:val="18"/>
          <w:color w:val="auto"/>
        </w:rPr>
        <w:t>, March 29, 2019.</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G2 Crowd, </w:t>
      </w:r>
      <w:r>
        <w:rPr>
          <w:rFonts w:ascii="Arial" w:cs="Arial" w:eastAsia="Arial" w:hAnsi="Arial"/>
          <w:sz w:val="18"/>
          <w:szCs w:val="18"/>
          <w:i w:val="1"/>
          <w:iCs w:val="1"/>
          <w:color w:val="auto"/>
        </w:rPr>
        <w:t>2018 Momentum Report for Video Conferencing</w:t>
      </w:r>
      <w:r>
        <w:rPr>
          <w:rFonts w:ascii="Arial" w:cs="Arial" w:eastAsia="Arial" w:hAnsi="Arial"/>
          <w:sz w:val="18"/>
          <w:szCs w:val="18"/>
          <w:color w:val="auto"/>
        </w:rPr>
        <w:t>,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Meeting Solutions</w:t>
      </w:r>
      <w:r>
        <w:rPr>
          <w:rFonts w:ascii="Arial" w:cs="Arial" w:eastAsia="Arial" w:hAnsi="Arial"/>
          <w:sz w:val="18"/>
          <w:szCs w:val="18"/>
          <w:color w:val="auto"/>
        </w:rPr>
        <w:t>, September 4,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Gartner Peer Insights: https://www.gartner.com/reviews/market/meeting-solutions-web-conferencing/vendor/zoom.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International Data Corporation (IDC), </w:t>
      </w:r>
      <w:r>
        <w:rPr>
          <w:rFonts w:ascii="Arial" w:cs="Arial" w:eastAsia="Arial" w:hAnsi="Arial"/>
          <w:sz w:val="18"/>
          <w:szCs w:val="18"/>
          <w:i w:val="1"/>
          <w:iCs w:val="1"/>
          <w:color w:val="auto"/>
        </w:rPr>
        <w:t>Worldwide Unified Communications and Collaboration Forecast, 2018-2022</w:t>
      </w:r>
      <w:r>
        <w:rPr>
          <w:rFonts w:ascii="Arial" w:cs="Arial" w:eastAsia="Arial" w:hAnsi="Arial"/>
          <w:sz w:val="18"/>
          <w:szCs w:val="18"/>
          <w:color w:val="auto"/>
        </w:rPr>
        <w:t>, May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Salesforce Research, </w:t>
      </w:r>
      <w:r>
        <w:rPr>
          <w:rFonts w:ascii="Arial" w:cs="Arial" w:eastAsia="Arial" w:hAnsi="Arial"/>
          <w:sz w:val="18"/>
          <w:szCs w:val="18"/>
          <w:i w:val="1"/>
          <w:iCs w:val="1"/>
          <w:color w:val="auto"/>
        </w:rPr>
        <w:t>State of IT</w:t>
      </w:r>
      <w:r>
        <w:rPr>
          <w:rFonts w:ascii="Arial" w:cs="Arial" w:eastAsia="Arial" w:hAnsi="Arial"/>
          <w:sz w:val="18"/>
          <w:szCs w:val="18"/>
          <w:color w:val="auto"/>
        </w:rPr>
        <w:t>, April 26, 2017.</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TrustRadius, </w:t>
      </w:r>
      <w:r>
        <w:rPr>
          <w:rFonts w:ascii="Arial" w:cs="Arial" w:eastAsia="Arial" w:hAnsi="Arial"/>
          <w:sz w:val="18"/>
          <w:szCs w:val="18"/>
          <w:i w:val="1"/>
          <w:iCs w:val="1"/>
          <w:color w:val="auto"/>
        </w:rPr>
        <w:t>Announcing the Top Rated Web Conferencing Software for 2019</w:t>
      </w:r>
      <w:r>
        <w:rPr>
          <w:rFonts w:ascii="Arial" w:cs="Arial" w:eastAsia="Arial" w:hAnsi="Arial"/>
          <w:sz w:val="18"/>
          <w:szCs w:val="18"/>
          <w:color w:val="auto"/>
        </w:rPr>
        <w:t>, February 6, 2019.</w:t>
      </w:r>
    </w:p>
    <w:p>
      <w:pPr>
        <w:spacing w:after="0" w:line="225"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Gartner reports described herein (the Gartner Reports) represent research opinions or viewpoints published as part of a syndicated subscription service by Gartner, Inc. (Gartner), and are not representations of fact. Each Gartner Report speaks as of its respective original publication date (and not as of the date of this Prospectus) and the opinions expressed in the Gartner Reports are subject to change without notice.</w:t>
      </w:r>
    </w:p>
    <w:p>
      <w:pPr>
        <w:spacing w:after="0" w:line="14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8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Gartner Peer Insights Customers’ Choice constitute the subjective opinions of individual end-user reviews, ratings, and data applied against a documented methodology; they neither represent the views of, nor constitute an endorsement by, Gartner or its affiliates.</w:t>
      </w:r>
    </w:p>
    <w:p>
      <w:pPr>
        <w:spacing w:after="0" w:line="14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Information contained on or accessible through the website referenced above is not a part of this prospectus and the inclusion of the website address referenced above in this prospectus is an inactive textual reference only.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estimate that our net proceeds from the sale of our Class A common stock that we are offering and the concurrent private placement will be approximately $414.0 million (or approximately $514.5 million if the underwriters exercise their over-allotment option in full), assuming an initial public offering price of $34.00 per share of Class A common stock, the midpoint of the estimated price range set forth on the cover page of this prospectus, after deducting estimated underwriting discounts and commissions and estimated expenses related to the offering and the concurrent private placement. We will not receive any proceeds from the sale of shares of our Class A common stock by the selling stockholders.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 $1.00 increase (decrease) in the assumed initial public offering price of $34.00 per share of Class A common stock would increase (decrease) the net proceeds to us from this offering and the concurrent private placement by approximately $9.4 million, assuming the number of shares offered by us, as set forth on the cover page of this prospectus, remains the same, and after deducting estimated underwriting discounts and commissions. Similarly, each increase (decrease) of 1.0 million shares in the number of shares of Class A common stock offered by us would increase (decrease) the net proceeds to us from this offering and the concurrent private placement by approximately $32.1 million, assuming the assumed initial public offering price of $34.00 per share of Class A common stock remains the same, and after deducting estimated underwriting discounts and commissions.</w:t>
      </w:r>
    </w:p>
    <w:p>
      <w:pPr>
        <w:spacing w:after="0" w:line="16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We currently intend to use the net proceeds we receive from this offering and the concurrent private placement for general corporate purposes, including working capital, operating expenses and capital expenditures. We cannot specify with certainty all of the particular uses for the remaining net proceeds to us from this offering and the concurrent private placement. We may also use a portion of the net proceeds for acquisitions 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 We intend to invest the net proceeds to us from the offering and the concurrent private placement that are not used as described above in investment-grade, interest-bearing instruments.</w:t>
      </w: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our cash, cash equivalents and marketable securities and our capitalization as of January 31, 2019 as follows:</w:t>
      </w:r>
    </w:p>
    <w:p>
      <w:pPr>
        <w:spacing w:after="0" w:line="142"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hanging="424"/>
        <w:spacing w:after="0" w:line="273"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a pro forma basis to reflect (1) the automatic conversion of all outstanding shares of our convertible preferred stock as of January 31, 2019 into 152,665,804 shares of Class B common stock immediately prior to the completion of this offering, (2) the filing of our amended and restated certificate of incorporation immediately prior to the completion of this offering, and (3) the issuance of 447,612 shares of Class A common stock upon conversion of outstanding convertible promissory notes assuming a conversion date of January 31, 2019 at an assumed initial public offering price of $34.00 per share, the midpoint of the price range set forth on the cover page of this prospectus, in the principal amount of $15.0 million plus accrued interest upon the completion of this offering; and</w:t>
      </w:r>
    </w:p>
    <w:p>
      <w:pPr>
        <w:spacing w:after="0" w:line="83" w:lineRule="exact"/>
        <w:rPr>
          <w:rFonts w:ascii="Arial" w:cs="Arial" w:eastAsia="Arial" w:hAnsi="Arial"/>
          <w:sz w:val="17"/>
          <w:szCs w:val="17"/>
          <w:color w:val="auto"/>
        </w:rPr>
      </w:pPr>
    </w:p>
    <w:p>
      <w:pPr>
        <w:ind w:left="1060" w:hanging="424"/>
        <w:spacing w:after="0" w:line="290" w:lineRule="auto"/>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(1) the pro forma items described immediately above, (2) our issuance and sale of 12,852,610 shares of Class A common stock in this offering and the concurrent private placement at an assumed initial public offering price of $34.00 per share, the midpoint of the price range set forth on the cover page of this prospectus, after deducting the estimated underwriting discounts and commissions and estimated expenses related to the offering and the concurrent private placement payable by us, and (3) the conversion of 10,674,954 shares of our Class B common stock held by certain selling stockholders into an equivalent number of our Class A common stock upon the sale by the selling stockholders in this offering, as well as the issuance of 283,177 shares of our Class B common stock and the subsequent conversion of such shares into an equivalent number of shares of our Class A common stock upon the exercise of options held by certain selling stockholders in connection with the sale of such shares by such selling stockholders in this offering.</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section titled “Management’s Discussion and Analysis of Financial Condition and Results of Operations” and other financial information contained in this prospectus.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As of January 31, 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0"/>
                <w:szCs w:val="10"/>
                <w:color w:val="auto"/>
              </w:rPr>
            </w:pPr>
          </w:p>
        </w:tc>
        <w:tc>
          <w:tcPr>
            <w:tcW w:w="12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9"/>
              </w:rPr>
              <w:t>Pro Forma</w:t>
            </w:r>
          </w:p>
        </w:tc>
        <w:tc>
          <w:tcPr>
            <w:tcW w:w="6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9"/>
          </w:tcPr>
          <w:p>
            <w:pPr>
              <w:jc w:val="right"/>
              <w:ind w:right="271"/>
              <w:spacing w:after="0" w:line="142" w:lineRule="exact"/>
              <w:rPr>
                <w:sz w:val="20"/>
                <w:szCs w:val="20"/>
                <w:color w:val="auto"/>
              </w:rPr>
            </w:pPr>
            <w:r>
              <w:rPr>
                <w:rFonts w:ascii="Arial" w:cs="Arial" w:eastAsia="Arial" w:hAnsi="Arial"/>
                <w:sz w:val="14"/>
                <w:szCs w:val="14"/>
                <w:b w:val="1"/>
                <w:bCs w:val="1"/>
                <w:color w:val="auto"/>
                <w:w w:val="97"/>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176,401</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176,401</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8"/>
                <w:szCs w:val="18"/>
                <w:color w:val="auto"/>
              </w:rPr>
              <w:t>Convertible promissory notes and derivatives, net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 per share; 158,104,540 shares authorized;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152,665,804 shares issued and outstanding, actual; no shares authorized, issued 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pro forma and pro forma as adjusted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159,552</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Preferred stock, $0.001 par value per share: no shares authorized, issued or outstanding,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6"/>
              </w:rPr>
              <w:t>actual; 200,000,000 shares authorized and no shares issued and outstanding, pro forma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 pro forma as adjusted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9"/>
              </w:rPr>
              <w:t>Class A common stock, $0.001 par value per share; 320,000,000 shares authorized, no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520"/>
              <w:spacing w:after="0"/>
              <w:rPr>
                <w:sz w:val="20"/>
                <w:szCs w:val="20"/>
                <w:color w:val="auto"/>
              </w:rPr>
            </w:pPr>
            <w:r>
              <w:rPr>
                <w:rFonts w:ascii="Arial" w:cs="Arial" w:eastAsia="Arial" w:hAnsi="Arial"/>
                <w:sz w:val="18"/>
                <w:szCs w:val="18"/>
                <w:color w:val="auto"/>
                <w:w w:val="95"/>
              </w:rPr>
              <w:t>shares issued and outstanding, actual; 2,000,000,000 shares authorized, 447,612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520"/>
              <w:spacing w:after="0"/>
              <w:rPr>
                <w:sz w:val="20"/>
                <w:szCs w:val="20"/>
                <w:color w:val="auto"/>
              </w:rPr>
            </w:pPr>
            <w:r>
              <w:rPr>
                <w:rFonts w:ascii="Arial" w:cs="Arial" w:eastAsia="Arial" w:hAnsi="Arial"/>
                <w:sz w:val="18"/>
                <w:szCs w:val="18"/>
                <w:color w:val="auto"/>
                <w:w w:val="95"/>
              </w:rPr>
              <w:t>issued and outstanding, pro forma; 2,000,000,000 shares authorized, 24,258,353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ind w:left="520"/>
              <w:spacing w:after="0"/>
              <w:rPr>
                <w:sz w:val="20"/>
                <w:szCs w:val="20"/>
                <w:color w:val="auto"/>
              </w:rPr>
            </w:pPr>
            <w:r>
              <w:rPr>
                <w:rFonts w:ascii="Arial" w:cs="Arial" w:eastAsia="Arial" w:hAnsi="Arial"/>
                <w:sz w:val="18"/>
                <w:szCs w:val="18"/>
                <w:color w:val="auto"/>
              </w:rPr>
              <w:t>issued and outstanding, pro forma as adjusted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Class B common stock, $0.001 par value per share, 300,000,000 shares authorized,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90,327,435 shares issued and outstanding, actual; 300,000,000 shares authorized,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6"/>
              </w:rPr>
              <w:t>242,993,239 shares issued and outstanding, pro forma; 300,000,000 shares authorized,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232,318,285 shares issued and outstanding, pro forma as adjusted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17,760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192,378</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(25,153)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(25,153)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167,332</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70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167,332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167,332</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 w:hanging="436"/>
        <w:spacing w:after="0" w:line="276"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$34.00 per share of Class A common stock, the midpoint of the price range set forth on the cover page of this prospectus, would increase (decrease) the pro forma as adjusted amount of each of cash and cash equivalents and total stockholders’ (deficit) equity by approximately $9.4 million. Similarly, each increase (decrease) of 1.0 million shares in the number of shares offered by us at the assumed initial public offering price per share would increase (decrease) the pro forma as adjusted amount of each of cash and cash equivalents and total stockholders’ (deficit) equity by approximately $32.1 million.</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outstanding share information in the table above is based on 447,612 shares of our Class A common stock (including the conversion of convertible promissory notes) and 242,993,239 shares of our Class B common stock (including preferred stock on an as-converted basis and reclassified as common stock) outstanding as of January 31, 2019 and excludes:</w:t>
      </w:r>
    </w:p>
    <w:p>
      <w:pPr>
        <w:spacing w:after="0" w:line="87" w:lineRule="exact"/>
        <w:rPr>
          <w:sz w:val="20"/>
          <w:szCs w:val="20"/>
          <w:color w:val="auto"/>
        </w:rPr>
      </w:pPr>
    </w:p>
    <w:p>
      <w:pPr>
        <w:ind w:left="1060" w:right="100" w:hanging="424"/>
        <w:spacing w:after="0" w:line="286"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35,064,465 shares of our Class B common stock issuable upon the exercise of options to purchase shares of our Class B common stock outstanding as of January 31, 2019, with a weighted-average exercise price of $1.48 per share (other than 283,177 shares to be issued upon exercise of options to purchase Class B common stock by certain selling stockholders and sold in this offering);</w:t>
      </w:r>
    </w:p>
    <w:p>
      <w:pPr>
        <w:spacing w:after="0" w:line="70" w:lineRule="exact"/>
        <w:rPr>
          <w:rFonts w:ascii="Arial" w:cs="Arial" w:eastAsia="Arial" w:hAnsi="Arial"/>
          <w:sz w:val="17"/>
          <w:szCs w:val="17"/>
          <w:color w:val="auto"/>
        </w:rPr>
      </w:pPr>
    </w:p>
    <w:p>
      <w:pPr>
        <w:ind w:left="1060" w:right="48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1,147,500 shares of our Class B common stock issuable upon the exercise of options to purchase shares of our Class B common stock granted after January 31, 2019, with a weighted-average exercise price of $26.09 per share;</w:t>
      </w:r>
    </w:p>
    <w:p>
      <w:pPr>
        <w:spacing w:after="0" w:line="75" w:lineRule="exact"/>
        <w:rPr>
          <w:rFonts w:ascii="Arial" w:cs="Arial" w:eastAsia="Arial" w:hAnsi="Arial"/>
          <w:sz w:val="18"/>
          <w:szCs w:val="18"/>
          <w:color w:val="auto"/>
        </w:rPr>
      </w:pPr>
    </w:p>
    <w:p>
      <w:pPr>
        <w:ind w:left="1060" w:right="80" w:hanging="424"/>
        <w:spacing w:after="0" w:line="293"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58,300,889 shares of our Class A common stock reserved for future issuance under our 2019 Equity Incentive Plan (2019 Plan), which will become effective in connection with this offering, including 34,000,000 new shares plus the number of shares (not to exceed 24,300,889 shares) (i) that remain available for grant of future awards under our 2011 Global Share Plan (2011 Plan), which shares will be added to the shares reserved under the 2019 Plan upon its effectiveness and (ii) any shares underlying outstanding stock awards granted under our 2011 Plan that expire, or are forfeited, cancelled, withheld or reacquired; plus an annual evergreen increase, as more fully described under the terms of the 2019 Plan described in the section titled “Executive Compensation—Equity Plans”; and</w:t>
      </w:r>
    </w:p>
    <w:p>
      <w:pPr>
        <w:spacing w:after="0" w:line="70" w:lineRule="exact"/>
        <w:rPr>
          <w:rFonts w:ascii="Arial" w:cs="Arial" w:eastAsia="Arial" w:hAnsi="Arial"/>
          <w:sz w:val="16"/>
          <w:szCs w:val="16"/>
          <w:color w:val="auto"/>
        </w:rPr>
      </w:pPr>
    </w:p>
    <w:p>
      <w:pPr>
        <w:ind w:left="1060" w:right="6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9,000,000 shares of our Class A common stock reserved for future issuance under our 2019 Employee Stock Purchase Plan, which includes an annual evergreen increase and will become effective in connection with this offering.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 and the concurrent private placement.</w:t>
      </w:r>
    </w:p>
    <w:p>
      <w:pPr>
        <w:spacing w:after="0" w:line="181" w:lineRule="exact"/>
        <w:rPr>
          <w:sz w:val="20"/>
          <w:szCs w:val="20"/>
          <w:color w:val="auto"/>
        </w:rPr>
      </w:pPr>
    </w:p>
    <w:p>
      <w:pPr>
        <w:jc w:val="both"/>
        <w:ind w:left="200" w:right="280" w:firstLine="441"/>
        <w:spacing w:after="0" w:line="279" w:lineRule="auto"/>
        <w:rPr>
          <w:sz w:val="20"/>
          <w:szCs w:val="20"/>
          <w:color w:val="auto"/>
        </w:rPr>
      </w:pPr>
      <w:r>
        <w:rPr>
          <w:rFonts w:ascii="Arial" w:cs="Arial" w:eastAsia="Arial" w:hAnsi="Arial"/>
          <w:sz w:val="17"/>
          <w:szCs w:val="17"/>
          <w:color w:val="auto"/>
        </w:rPr>
        <w:t>As of January 31, 2019, we had a pro forma net tangible book value (deficit) of $165.3 million, or $0.68 per share. Pro forma net tangible book value per share represents the amount of our total tangible assets less our total liabilities, divided by the number of shares of our Class A and Class B common stock outstanding as of January 31, 2019, after giving effect to the reclassification and automatic conversion of all shares of our convertible preferred stock outstanding as of January 31, 2019 into 152,665,804 shares of our Class B common stock.</w:t>
      </w:r>
    </w:p>
    <w:p>
      <w:pPr>
        <w:spacing w:after="0" w:line="17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After giving further effect to the sale of 12,852,610 shares of Class A common stock that we are offering and the concurrent private placement at an assumed initial public offering price of $34.00 per share, the midpoint of the price range set forth on the cover page of this prospectus, as well as the issuance of 283,177 shares of Class A common stock (as converted) upon exercise of options held by certain selling stockholders, and after deducting the estimated underwriting discounts and commissions and estimated expenses related to the offering and the concurrent private placement payable by us, our pro forma as adjusted net tangible book value as of January 31, 2019 would have been approximately $579.4 million, or approximately $2.26 per share. This amount represents an immediate increase in pro forma net tangible book value of $1.58 per share to our existing stockholders and an immediate dilution in pro forma net tangible book value of approximately $31.74 per share to new investors purchasing shares of Class A common stock in this offering and the concurrent private placement.</w:t>
      </w:r>
    </w:p>
    <w:p>
      <w:pPr>
        <w:spacing w:after="0" w:line="17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January 31, 2019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Increase in pro forma net tangible book value per share attributable to this offering and the concurrent private placement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 and the concurrent private placement</w:t>
            </w:r>
          </w:p>
        </w:tc>
        <w:tc>
          <w:tcPr>
            <w:tcW w:w="3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 and the concurrent private placement</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Each $1.00 increase (decrease) in the assumed initial public offering price of $34.00 per share, the midpoint of the price range set forth on the cover page of this prospectus, would increase (decrease) the pro forma as adjusted net tangible book value per share after this offering by approximately $0.04, and dilution in pro forma net tangible book value per share to new investors by approximately $0.96, assuming that the number of shares of Class A common stock offered by us, as set forth on the cover page of this prospectus, remains the same and after deducting the estimated underwriting discounts and commissions. Each increase (decrease) of 1.0 million shares in the number of shares of Class A common stock offered by us would increase (decrease) our pro forma as adjusted net tangible book value per share after this offering by approximately $0.12 per share and decrease (increase) the dilution to investors participating in this offering by approximately $0.12 per share, assuming that the assumed initial public offering price remains the same, and after deducting the estimated underwriting discounts and commissions.</w:t>
      </w:r>
    </w:p>
    <w:p>
      <w:pPr>
        <w:spacing w:after="0" w:line="166"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after the offering and the concurrent private placement would be $2.62 per share, the increase in pro forma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color w:val="auto"/>
        </w:rPr>
        <w:t>net tangible book value per share to existing stockholders would be $1.94 per share and the dilution per share to new investors would be $31.38 per share, in each case assuming an initial public offering price of $34.00 per share, the midpoint of the price range set forth on the cover page of this prospectus.</w:t>
      </w:r>
    </w:p>
    <w:p>
      <w:pPr>
        <w:spacing w:after="0" w:line="18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following table summarizes on the pro forma as adjusted basis described above, as of January 31, 2019, the differences between the number of shares of Class B common stock purchased from us by our existing stockholders and Class A common stock by new investors purchasing shares in this offering and the concurrent private placement, the total consideration paid to us in cash and the average price per share paid by existing stockholders for shares of Class B common stock issued prior to this offering and the price to be paid by new investors for shares of Class A common stock in this offering and the concurrent private placement. The calculation below is based on the assumed initial public offering price of $34.00 per share, the midpoint of the price range set forth on the cover page of the prospectus, before deducting the estimated underwriting discounts and commissions and estimated expenses related to the offering and the concurrent private placement payable by us.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80" w:type="dxa"/>
            <w:vAlign w:val="bottom"/>
            <w:gridSpan w:val="3"/>
            <w:vMerge w:val="restart"/>
          </w:tcPr>
          <w:p>
            <w:pPr>
              <w:jc w:val="right"/>
              <w:ind w:right="310"/>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Total Consideration</w:t>
            </w:r>
          </w:p>
        </w:tc>
        <w:tc>
          <w:tcPr>
            <w:tcW w:w="3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540" w:type="dxa"/>
            <w:vAlign w:val="bottom"/>
          </w:tcPr>
          <w:p>
            <w:pPr>
              <w:spacing w:after="0"/>
              <w:rPr>
                <w:sz w:val="6"/>
                <w:szCs w:val="6"/>
                <w:color w:val="auto"/>
              </w:rPr>
            </w:pPr>
          </w:p>
        </w:tc>
        <w:tc>
          <w:tcPr>
            <w:tcW w:w="188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60" w:type="dxa"/>
            <w:vAlign w:val="bottom"/>
            <w:gridSpan w:val="4"/>
            <w:vMerge w:val="restart"/>
          </w:tcPr>
          <w:p>
            <w:pPr>
              <w:jc w:val="center"/>
              <w:ind w:left="59"/>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540" w:type="dxa"/>
            <w:vAlign w:val="bottom"/>
          </w:tcPr>
          <w:p>
            <w:pPr>
              <w:spacing w:after="0"/>
              <w:rPr>
                <w:sz w:val="4"/>
                <w:szCs w:val="4"/>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Number</w:t>
            </w:r>
          </w:p>
        </w:tc>
        <w:tc>
          <w:tcPr>
            <w:tcW w:w="12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Amount</w:t>
            </w:r>
          </w:p>
        </w:tc>
        <w:tc>
          <w:tcPr>
            <w:tcW w:w="12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Percent</w:t>
            </w: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243,724,028</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192,792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New investors</w:t>
            </w:r>
          </w:p>
        </w:tc>
        <w:tc>
          <w:tcPr>
            <w:tcW w:w="960" w:type="dxa"/>
            <w:vAlign w:val="bottom"/>
          </w:tcPr>
          <w:p>
            <w:pPr>
              <w:jc w:val="right"/>
              <w:spacing w:after="0"/>
              <w:rPr>
                <w:sz w:val="20"/>
                <w:szCs w:val="20"/>
                <w:color w:val="auto"/>
              </w:rPr>
            </w:pPr>
            <w:r>
              <w:rPr>
                <w:rFonts w:ascii="Arial" w:cs="Arial" w:eastAsia="Arial" w:hAnsi="Arial"/>
                <w:sz w:val="18"/>
                <w:szCs w:val="18"/>
                <w:color w:val="auto"/>
              </w:rPr>
              <w:t>9,911,434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336,989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Concurrent private placement investor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2,941,176</w:t>
            </w:r>
          </w:p>
        </w:tc>
        <w:tc>
          <w:tcPr>
            <w:tcW w:w="4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256,576,638</w:t>
            </w:r>
          </w:p>
        </w:tc>
        <w:tc>
          <w:tcPr>
            <w:tcW w:w="4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629,781</w:t>
            </w:r>
          </w:p>
        </w:tc>
        <w:tc>
          <w:tcPr>
            <w:tcW w:w="4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Sales by the selling stockholders in this offering will reduce the number of shares held by existing stockholders to 232,765,897, or approximately 90.7% of the total shares of common stock outstanding after this offering and the concurrent private placement, and will increase the number of shares held by new investors to 20,869,565, or approximately 8.1% of the total shares of common stock outstanding after this offering and the concurrent private placement.</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outstanding share information in the table above is based on 447,612 shares of our Class A common stock (including the conversion of convertible promissory notes) and 242,993,239 shares of our Class B common stock (including preferred stock on an as-converted basis and reclassified as Class B common stock) outstanding as of January 31, 2019 and excludes:</w:t>
      </w:r>
    </w:p>
    <w:p>
      <w:pPr>
        <w:spacing w:after="0" w:line="87" w:lineRule="exact"/>
        <w:rPr>
          <w:sz w:val="20"/>
          <w:szCs w:val="20"/>
          <w:color w:val="auto"/>
        </w:rPr>
      </w:pPr>
    </w:p>
    <w:p>
      <w:pPr>
        <w:ind w:left="1060" w:right="160" w:hanging="424"/>
        <w:spacing w:after="0" w:line="286"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35,064,465 shares of our Class B common stock issuable upon the exercise of options to purchase shares of our Class B common stock outstanding as of January 31, 2019, with a weighted-average exercise price of $1.48 per share (other than 283,177 shares to be issued upon exercise of options to purchase Class B common stock by certain selling stockholders and sold in this offering);</w:t>
      </w:r>
    </w:p>
    <w:p>
      <w:pPr>
        <w:spacing w:after="0" w:line="70" w:lineRule="exact"/>
        <w:rPr>
          <w:rFonts w:ascii="Arial" w:cs="Arial" w:eastAsia="Arial" w:hAnsi="Arial"/>
          <w:sz w:val="17"/>
          <w:szCs w:val="17"/>
          <w:color w:val="auto"/>
        </w:rPr>
      </w:pPr>
    </w:p>
    <w:p>
      <w:pPr>
        <w:ind w:left="1060" w:right="5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1,147,500 shares of our Class B common stock issuable upon the exercise of options to purchase shares of our Class B common stock granted after January 31, 2019, with a weighted-average exercise price of $26.09 per share;</w:t>
      </w:r>
    </w:p>
    <w:p>
      <w:pPr>
        <w:spacing w:after="0" w:line="75" w:lineRule="exact"/>
        <w:rPr>
          <w:rFonts w:ascii="Arial" w:cs="Arial" w:eastAsia="Arial" w:hAnsi="Arial"/>
          <w:sz w:val="18"/>
          <w:szCs w:val="18"/>
          <w:color w:val="auto"/>
        </w:rPr>
      </w:pPr>
    </w:p>
    <w:p>
      <w:pPr>
        <w:ind w:left="1060" w:right="160" w:hanging="424"/>
        <w:spacing w:after="0" w:line="312" w:lineRule="auto"/>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58,300,889 shares of our Class A common stock reserved for future issuance under our 2019 Equity Incentive Plan (2019 Plan), which will become effective in connection with this offering, including 34,000,000 new shares plus the number of shares (not to exceed 24,300,889 shares) (i) that remain available for grant of future awards under our 2011 Global Share Plan (2011 Plan), which shares will</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6" w:lineRule="auto"/>
        <w:rPr>
          <w:sz w:val="20"/>
          <w:szCs w:val="20"/>
          <w:color w:val="auto"/>
        </w:rPr>
      </w:pPr>
      <w:r>
        <w:rPr>
          <w:rFonts w:ascii="Arial" w:cs="Arial" w:eastAsia="Arial" w:hAnsi="Arial"/>
          <w:sz w:val="17"/>
          <w:szCs w:val="17"/>
          <w:color w:val="auto"/>
        </w:rPr>
        <w:t>be added to the shares reserved under the 2019 Plan upon its effectiveness and (ii) any shares underlying outstanding stock awards granted under our 2011 Plan that expire, or are forfeited, cancelled, withheld or reacquired; plus an annual evergreen increase, as more fully described under the terms of the 2019 Plan described in the section titled “Executive Compensation—Equity Plans”; and</w:t>
      </w:r>
    </w:p>
    <w:p>
      <w:pPr>
        <w:spacing w:after="0" w:line="71" w:lineRule="exact"/>
        <w:rPr>
          <w:sz w:val="20"/>
          <w:szCs w:val="20"/>
          <w:color w:val="auto"/>
        </w:rPr>
      </w:pPr>
    </w:p>
    <w:p>
      <w:pPr>
        <w:ind w:left="10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9,000,000 shares of our Class A common stock reserved for future issuance under our 2019 Employee Stock Purchase Plan, which includes an annual evergreen increase and will become effective in connection with this offering.</w:t>
      </w:r>
    </w:p>
    <w:p>
      <w:pPr>
        <w:spacing w:after="0" w:line="170"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To the extent any outstanding options are exercised, there will be further dilution to new investors. If all of such outstanding options had been exercised as of January 31, 2019, the pro forma as adjusted net tangible book value per share after this offering and the concurrent private placement would be $2.16, and total dilution per share to new investors would be $31.84.</w:t>
      </w:r>
    </w:p>
    <w:p>
      <w:pPr>
        <w:spacing w:after="0" w:line="18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If the underwriters exercise their over-allotment option in full, our existing stockholders would own 89.6% and the investors purchasing shares of our Class A common stock in this offering and the concurrent private placement would own 9.2% of the total number of shares of our Class A common stock outstanding immediately after completion of this offering and the concurrent private placement.</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240" w:top="459" w:right="5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following selected consolidated statements of operations data for the years ended January 31, 2017, 2018 and 2019 and the consolidated balance sheet data as of January 31, 2018 and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00" w:type="dxa"/>
            <w:vAlign w:val="bottom"/>
            <w:gridSpan w:val="9"/>
          </w:tcPr>
          <w:p>
            <w:pPr>
              <w:jc w:val="right"/>
              <w:ind w:right="551"/>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60,817</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151,478</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120,698</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Distributed earnings attributable to participating securities</w:t>
            </w:r>
            <w:r>
              <w:rPr>
                <w:rFonts w:ascii="Arial" w:cs="Arial" w:eastAsia="Arial" w:hAnsi="Arial"/>
                <w:sz w:val="15"/>
                <w:szCs w:val="15"/>
                <w:color w:val="auto"/>
              </w:rPr>
              <w:t>(2)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(4,405)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w:t>
            </w:r>
            <w:r>
              <w:rPr>
                <w:rFonts w:ascii="Arial" w:cs="Arial" w:eastAsia="Arial" w:hAnsi="Arial"/>
                <w:sz w:val="15"/>
                <w:szCs w:val="15"/>
                <w:color w:val="auto"/>
              </w:rPr>
              <w:t>(2)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Weighted-average shares used in computing net income (loss) per share attributable</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to common stockholders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84,483,094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116,005,681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 attributable to common stockholders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pro forma net income per share</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237,289,926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268,812,513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ind w:left="542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40" w:hanging="436"/>
        <w:spacing w:after="0" w:line="284"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920" w:type="dxa"/>
            <w:vAlign w:val="bottom"/>
            <w:gridSpan w:val="3"/>
          </w:tcPr>
          <w:p>
            <w:pPr>
              <w:jc w:val="right"/>
              <w:ind w:right="480"/>
              <w:spacing w:after="0" w:line="157" w:lineRule="exact"/>
              <w:rPr>
                <w:sz w:val="20"/>
                <w:szCs w:val="20"/>
                <w:color w:val="auto"/>
              </w:rPr>
            </w:pPr>
            <w:r>
              <w:rPr>
                <w:rFonts w:ascii="Arial" w:cs="Arial" w:eastAsia="Arial" w:hAnsi="Arial"/>
                <w:sz w:val="14"/>
                <w:szCs w:val="14"/>
                <w:b w:val="1"/>
                <w:bCs w:val="1"/>
                <w:color w:val="auto"/>
              </w:rPr>
              <w:t>As of January 31,</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$ 36,146</w:t>
            </w:r>
          </w:p>
        </w:tc>
        <w:tc>
          <w:tcPr>
            <w:tcW w:w="880" w:type="dxa"/>
            <w:vAlign w:val="bottom"/>
          </w:tcPr>
          <w:p>
            <w:pPr>
              <w:jc w:val="right"/>
              <w:spacing w:after="0"/>
              <w:rPr>
                <w:sz w:val="20"/>
                <w:szCs w:val="20"/>
                <w:color w:val="auto"/>
              </w:rPr>
            </w:pPr>
            <w:r>
              <w:rPr>
                <w:rFonts w:ascii="Arial" w:cs="Arial" w:eastAsia="Arial" w:hAnsi="Arial"/>
                <w:sz w:val="18"/>
                <w:szCs w:val="18"/>
                <w:color w:val="auto"/>
              </w:rPr>
              <w:t>$ 63,624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9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103,056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Working capital</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114,633</w:t>
            </w:r>
          </w:p>
        </w:tc>
        <w:tc>
          <w:tcPr>
            <w:tcW w:w="880" w:type="dxa"/>
            <w:vAlign w:val="bottom"/>
          </w:tcPr>
          <w:p>
            <w:pPr>
              <w:jc w:val="right"/>
              <w:spacing w:after="0"/>
              <w:rPr>
                <w:sz w:val="20"/>
                <w:szCs w:val="20"/>
                <w:color w:val="auto"/>
              </w:rPr>
            </w:pPr>
            <w:r>
              <w:rPr>
                <w:rFonts w:ascii="Arial" w:cs="Arial" w:eastAsia="Arial" w:hAnsi="Arial"/>
                <w:sz w:val="18"/>
                <w:szCs w:val="18"/>
                <w:color w:val="auto"/>
              </w:rPr>
              <w:t>124,378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9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215,019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revenue, current and non-current</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54,262</w:t>
            </w:r>
          </w:p>
        </w:tc>
        <w:tc>
          <w:tcPr>
            <w:tcW w:w="880" w:type="dxa"/>
            <w:vAlign w:val="bottom"/>
          </w:tcPr>
          <w:p>
            <w:pPr>
              <w:jc w:val="right"/>
              <w:spacing w:after="0"/>
              <w:rPr>
                <w:sz w:val="20"/>
                <w:szCs w:val="20"/>
                <w:color w:val="auto"/>
              </w:rPr>
            </w:pPr>
            <w:r>
              <w:rPr>
                <w:rFonts w:ascii="Arial" w:cs="Arial" w:eastAsia="Arial" w:hAnsi="Arial"/>
                <w:sz w:val="18"/>
                <w:szCs w:val="18"/>
                <w:color w:val="auto"/>
              </w:rPr>
              <w:t>125,773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net</w:t>
            </w:r>
            <w:r>
              <w:rPr>
                <w:rFonts w:ascii="Arial" w:cs="Arial" w:eastAsia="Arial" w:hAnsi="Arial"/>
                <w:sz w:val="15"/>
                <w:szCs w:val="15"/>
                <w:color w:val="auto"/>
              </w:rPr>
              <w:t>(1)</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159,552</w:t>
            </w:r>
          </w:p>
        </w:tc>
        <w:tc>
          <w:tcPr>
            <w:tcW w:w="880" w:type="dxa"/>
            <w:vAlign w:val="bottom"/>
          </w:tcPr>
          <w:p>
            <w:pPr>
              <w:jc w:val="right"/>
              <w:spacing w:after="0"/>
              <w:rPr>
                <w:sz w:val="20"/>
                <w:szCs w:val="20"/>
                <w:color w:val="auto"/>
              </w:rPr>
            </w:pPr>
            <w:r>
              <w:rPr>
                <w:rFonts w:ascii="Arial" w:cs="Arial" w:eastAsia="Arial" w:hAnsi="Arial"/>
                <w:sz w:val="18"/>
                <w:szCs w:val="18"/>
                <w:color w:val="auto"/>
              </w:rPr>
              <w:t>159,552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9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(32,737)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(25,153)</w:t>
            </w: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960" w:type="dxa"/>
            <w:vAlign w:val="bottom"/>
            <w:gridSpan w:val="2"/>
          </w:tcPr>
          <w:p>
            <w:pPr>
              <w:jc w:val="right"/>
              <w:ind w:right="104"/>
              <w:spacing w:after="0"/>
              <w:rPr>
                <w:sz w:val="20"/>
                <w:szCs w:val="20"/>
                <w:color w:val="auto"/>
              </w:rPr>
            </w:pPr>
            <w:r>
              <w:rPr>
                <w:rFonts w:ascii="Arial" w:cs="Arial" w:eastAsia="Arial" w:hAnsi="Arial"/>
                <w:sz w:val="18"/>
                <w:szCs w:val="18"/>
                <w:color w:val="auto"/>
              </w:rPr>
              <w:t>(26,671)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5620" w:right="5220" w:hanging="5416"/>
        <w:spacing w:after="0" w:line="536"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other liabilities, non-current on our consolidated balance sheet. 55</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should be read together with our consolidated financial statements and accompanying notes included elsewhere within this prospectus. This discussion includes both historical information and forward-looking information that involves risk, uncertainties and assumptions. Our actual results may differ materially from management’s expectations as a result of various factors, including, but not limited to, those discussed in the section titled “Risk Factors.” The last day of our fiscal year is January 31. Our fiscal quarters end on April 30, July 31, October 31 and January 31.</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positive impact we have on our customers and hosts is reflected in our average customer Net Promoter Score (NPS), which was over 70 in 2018. NPS, which can range from a low of -100 to a high of +100, measures the willingness of customers to recommend a company’s products or services to others and is used as a proxy for gauging customers’ overall satisfaction with a company’s product or service and the customers’ loyalty to the brand. We believe our customer-first focus is a critical part of our DNA and built directly into our platform architecture, which dynamically processes and delivers reliable, high-quality video across devices. Our architecture can support tens of thousands of video participants in a single meeting. Our 13 co-located data centers located worldwide enable us to provide both high-quality and high-definition, real-time video to our customers even in low bandwidth environments.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our inception, our consistent focus on innovation has allowed us to achieve the following significant milestones:</w:t>
      </w:r>
    </w:p>
    <w:p>
      <w:pPr>
        <w:spacing w:after="0" w:line="127" w:lineRule="exact"/>
        <w:rPr>
          <w:sz w:val="20"/>
          <w:szCs w:val="20"/>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2011: </w:t>
      </w:r>
      <w:r>
        <w:rPr>
          <w:rFonts w:ascii="Arial" w:cs="Arial" w:eastAsia="Arial" w:hAnsi="Arial"/>
          <w:sz w:val="18"/>
          <w:szCs w:val="18"/>
          <w:color w:val="auto"/>
        </w:rPr>
        <w:t>Zoom founded, first employee hired, first seed funding and first office leased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2013: </w:t>
      </w:r>
      <w:r>
        <w:rPr>
          <w:rFonts w:ascii="Arial" w:cs="Arial" w:eastAsia="Arial" w:hAnsi="Arial"/>
          <w:sz w:val="18"/>
          <w:szCs w:val="18"/>
          <w:color w:val="auto"/>
        </w:rPr>
        <w:t>First public release of Zoom Meetings, which supported 200 million annual meeting minutes by year end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2014: </w:t>
      </w:r>
      <w:r>
        <w:rPr>
          <w:rFonts w:ascii="Arial" w:cs="Arial" w:eastAsia="Arial" w:hAnsi="Arial"/>
          <w:sz w:val="18"/>
          <w:szCs w:val="18"/>
          <w:color w:val="auto"/>
        </w:rPr>
        <w:t>Introduced Zoom Chat, Zoom Video Webinar and Zoom Rooms</w:t>
      </w:r>
    </w:p>
    <w:p>
      <w:pPr>
        <w:spacing w:after="0" w:line="130" w:lineRule="exact"/>
        <w:rPr>
          <w:rFonts w:ascii="Arial" w:cs="Arial" w:eastAsia="Arial" w:hAnsi="Arial"/>
          <w:sz w:val="18"/>
          <w:szCs w:val="18"/>
          <w:color w:val="auto"/>
        </w:rPr>
      </w:pPr>
    </w:p>
    <w:p>
      <w:pPr>
        <w:ind w:left="1060" w:right="100" w:hanging="424"/>
        <w:spacing w:after="0" w:line="282"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100th employee hired, revolutionized mobile screen sharing, introduced Zoom Video Breakout Rooms and partnered with Slack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salesforce.com</w:t>
      </w:r>
    </w:p>
    <w:p>
      <w:pPr>
        <w:spacing w:after="0" w:line="67" w:lineRule="exact"/>
        <w:rPr>
          <w:rFonts w:ascii="Arial" w:cs="Arial" w:eastAsia="Arial" w:hAnsi="Arial"/>
          <w:sz w:val="18"/>
          <w:szCs w:val="18"/>
          <w:color w:val="auto"/>
        </w:rPr>
      </w:pPr>
    </w:p>
    <w:p>
      <w:pPr>
        <w:ind w:left="1060" w:right="280" w:hanging="424"/>
        <w:spacing w:after="0" w:line="282"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2016: </w:t>
      </w:r>
      <w:r>
        <w:rPr>
          <w:rFonts w:ascii="Arial" w:cs="Arial" w:eastAsia="Arial" w:hAnsi="Arial"/>
          <w:sz w:val="18"/>
          <w:szCs w:val="18"/>
          <w:color w:val="auto"/>
        </w:rPr>
        <w:t>Added native interoperability with Microsoft Skype for business, introduced touch and three-screen support for Zoom Rooms and</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six billion annual meeting minutes</w:t>
      </w:r>
    </w:p>
    <w:p>
      <w:pPr>
        <w:spacing w:after="0" w:line="67" w:lineRule="exact"/>
        <w:rPr>
          <w:rFonts w:ascii="Arial" w:cs="Arial" w:eastAsia="Arial" w:hAnsi="Arial"/>
          <w:sz w:val="18"/>
          <w:szCs w:val="18"/>
          <w:color w:val="auto"/>
        </w:rPr>
      </w:pPr>
    </w:p>
    <w:p>
      <w:pPr>
        <w:ind w:left="1060" w:right="180" w:hanging="424"/>
        <w:spacing w:after="0" w:line="282"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2017: </w:t>
      </w:r>
      <w:r>
        <w:rPr>
          <w:rFonts w:ascii="Arial" w:cs="Arial" w:eastAsia="Arial" w:hAnsi="Arial"/>
          <w:sz w:val="18"/>
          <w:szCs w:val="18"/>
          <w:color w:val="auto"/>
        </w:rPr>
        <w:t>Announced Zoom Developer Platform, hosted our first user conference, Zoomtopia, and opened offices in Australia and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Announced Zoom Phone, Zoom App Marketplace and partnerships with Atlassian and Dropbox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Exceeded 5 billion monthly meeting minutes</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24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Our revenue was $60.8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generate revenue from the sale of subscriptions to our video-first communications platform. Subscription revenue is driven primarily by the number of paid hosts, as well as purchases of additional products including Zoom Rooms and Zoom Video Webinars.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6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terms of our subscription agreements are monthly, annual and multi-year, and we may bill for the full term in advance or on an annual or monthly basis, depending on the customer preference. We recognize subscription revenue ratably over the term of the subscription period. Our larger customers typically opt to pay in annual installments, one year in advance. We have seen an increase in the proportion of annual and multi-year subscriptions and billings as we have increased the number of larger customers. For example, for the fiscal years ended January 31, 2018 and 2019, 65% and 74%, respectively, of our annual recurring revenue (ARR) was generated from annual and multi-year subscriptions. We define ARR as the annualized revenue run-rate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The attrition rate for our monthly subscribers was less than 4% per month in the fiscal years ended January 31, 2018 and 2019. ARR and MRR should be viewed independently of revenue as they are operating metrics and are not intended to be replacements or forecasts of revenue.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Go-to-Market Model</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offer subscriptions to our platform to a broad range of customers, from single users to organizations with hundreds of thousands of employees. Users are comprised of both hosts who organize video meetings and the individual attendees who participate in those video meetings.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17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platform is designed to make it easy for new users to join or host meetings. Meeting participants invited by a host can begin using the platform immediately. If a participant wants to host a meeting, they can subscribe to one of the paid plans or sign up for our free Basic plan. By attracting free hosts through our Basic plan, we drive usage on our platform, and our free hosts then introduce and invite new participants to experience the benefits of Zoom. As free hosts realize the benefits of our platform, they often subscribe to a paid plan to gain access to additional functionality. For the fiscal year ended January 31, 2019, 55% of our 344 customers that contributed more than $100,000 of revenue started with at least one free host prior to subscribing. These 344 customers contributed 30% of revenue for the fiscal year ended January 31, 2019.</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customer base is diverse and spans various industries and countries. Our top 10 customers accounted for less than 10% of revenue for each of the fiscal years ended January 31, 2017, 2018 and 2019.</w:t>
      </w:r>
    </w:p>
    <w:p>
      <w:pPr>
        <w:spacing w:after="0" w:line="170"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We have experienced significant success in attracting large enterprise customers using our model. For the fiscal year ended January 31, 2019, we had 344 customers that contributed more than $100,000 of revenue, compared to just 143 customers one year before.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Expansion of Zoom Across Existing Customers</w:t>
      </w:r>
    </w:p>
    <w:p>
      <w:pPr>
        <w:spacing w:after="0" w:line="117"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We believe that there is a large opportunity for growth with many of our existing customers. For the fiscal year ended January 31, 2019, greater than 50% of the Fortune 500 had at least one paid Zoom host, compared to only 4% that contributed more than $100,000 of revenue. We believe this demonstrates that our product has already gained a foothold in many of the largest enterprises in the United States, and there is a large opportunity to expand within these large enterprise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 grade solutions.</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ARR from customers with greater than 10 employees as of the 12 months prior to such period end (Prior Period ARR). We then calculate the ARR from these customers as of the current period end (Current Period ARR). The calculation of Current Period ARR includes any upsells, contraction and attrition. We then divide the total Current Period ARR by the total Prior Period ARR to arrive at the net dollar expansion rate. For the trailing 12-months calculation, we take an average of this calculation over the previous 12 months. Our net dollar expansion rate may fluctuate as a result of a number of factors, including the level of penetration within our customer base, expansion of products and features and our ability to retain our customers. Our trailing 12-month net dollar expansion rate was 138%, 139% and 140% as of July 31, 2018, October 31, 2018 and January 31, 2019, respectively. As we only began tracking this metric in August 2017, we are not able to calculate the net dollar expansion rate for a trailing 12-month period prior to July 31, 2018.</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We continue to invest resources to enhance the capabilities of our platform. We announced Zoom Phone in October 2018 and made it generally available in January 2019. In 2018, we also announced our App Marketplace to bring together applications built by Zoom and third-party developers that are integrated into our platform, making it easy for customers and developers to extend our product portfolio with new functionalities. We believe that the more developers and other third parties use our platform to integrate other major third-party applications, the more we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International Expansion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platform addresses the communications needs of users worldwide. Minimal updates are required in order to make Zoom available for foreign markets, and we see international expansion as a major opportunity.</w:t>
      </w:r>
    </w:p>
    <w:p>
      <w:pPr>
        <w:spacing w:after="0" w:line="17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only recently started to expand our go-to-market operations internationally. Our revenue from APAC and EMEA represented 17% of our revenue in the fiscal year ended January 31, 2018 when we first established a physical sales presence in Australia and the United Kingdom. In the fiscal year ended January 31, 2019, our revenue from APAC and EMEA represented 18% of our revenue, and we added five additional local sales locations in Canada, France, Japan, the Netherlands and Singapore.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review the following key business metrics to measure our performance, identify trends, formulate financial projections, and make strategic decisions.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Customers with Greater Than 10 Employees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Revenue from these customers represented 69%, 75% and 78% of revenue for the fiscal years ended January 31, 2017, 2018 and 2019, respectively. As of January 31, 2017, 2018 and 2019, we had approximately 10,900, 25,800 and 50,800 customers with more than 10 employees. When disclosing the number of customers, we round down to the nearest hundred.</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Customers Contributing More Than $100,000 of Annual Revenue</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We focus on growing the number of customers that contribute more than $100,000 of annual revenue as a measure of our ability to scale with our customers and attract larger organizations to Zoom. Revenue from these customers represented 22%, 25% and 30% of revenue for the fiscal years ended January 31, 2017, 2018 and 2019, respectively. As of January 31, 2017, 2018 and 2019, we had 54, 143 and 344 customers that contributed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more than $100,000 of revenue in each of their respective fiscal years, demonstrating our rapid penetration of larger organizations including enterprises.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customers are a subset of the customers with greater than 10 employees.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allocated overhead. We expect our cost of revenue to increase in absolute dollars as our revenue increases.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Sales and marketing expenses primarily consist of personnel-related expenses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product-marketing efforts.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our finance, legal and human resources organizations, professional fees for external legal, accounting and other consulting services, bad debt expense and allocated overhead. We expect to increase the size of our general and administrative function to support the growth of our business. Following the completion of this offering, we expect to incur additional expenses as a result of operating as a public company. We expect the dollar amount of our general and administrative expenses to increase for the foreseeable future.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Interest income, net consists primarily of interest income earned on our cash equivalents and marketable securities and is partially offset by interest expenses on convertible promissory notes.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Other income, net consists primarily of miscellaneous non-operational income and expenses and remeasurement of derivative liabilities related to convertible promissory notes.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Provision for income taxes consists primarily of income taxes related to foreign and state jurisdictions in which we conduct business.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tables set forth selected consolidated statements of operations data and such data as a percentage of total revenue for each of the 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60,817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151,478</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330,517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48,345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120,698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269,516</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31,580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185,821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ind w:left="10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48,345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125,531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263,349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Net income (loss) before provision for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60" w:type="dxa"/>
            <w:vAlign w:val="bottom"/>
            <w:vMerge w:val="restart"/>
          </w:tcPr>
          <w:p>
            <w:pPr>
              <w:jc w:val="right"/>
              <w:ind w:right="2930"/>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3"/>
              </w:rPr>
              <w:t>Year Ended January 31,</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center"/>
              <w:ind w:left="484"/>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6"/>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before provision for income taxes</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w w:val="92"/>
              </w:rPr>
              <w:t>Comparison of the Fiscal Years Ended January 31, 2017, 2018 and 2019</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60" w:type="dxa"/>
            <w:vAlign w:val="bottom"/>
          </w:tcPr>
          <w:p>
            <w:pPr>
              <w:ind w:left="420"/>
              <w:spacing w:after="0"/>
              <w:rPr>
                <w:sz w:val="20"/>
                <w:szCs w:val="20"/>
                <w:color w:val="auto"/>
              </w:rPr>
            </w:pPr>
            <w:r>
              <w:rPr>
                <w:rFonts w:ascii="Arial" w:cs="Arial" w:eastAsia="Arial" w:hAnsi="Arial"/>
                <w:sz w:val="18"/>
                <w:szCs w:val="18"/>
                <w:i w:val="1"/>
                <w:iCs w:val="1"/>
                <w:color w:val="auto"/>
              </w:rPr>
              <w:t>Revenue</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Year Ended January 31,</w:t>
            </w: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tcPr>
          <w:p>
            <w:pPr>
              <w:jc w:val="right"/>
              <w:ind w:right="28"/>
              <w:spacing w:after="0" w:line="119"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860" w:type="dxa"/>
            <w:vAlign w:val="bottom"/>
            <w:gridSpan w:val="2"/>
          </w:tcPr>
          <w:p>
            <w:pPr>
              <w:jc w:val="right"/>
              <w:ind w:right="59"/>
              <w:spacing w:after="0" w:line="119"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vs</w:t>
            </w:r>
          </w:p>
        </w:tc>
        <w:tc>
          <w:tcPr>
            <w:tcW w:w="36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gridSpan w:val="4"/>
          </w:tcPr>
          <w:p>
            <w:pPr>
              <w:jc w:val="center"/>
              <w:ind w:left="93"/>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$60,817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$330,517</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 xml:space="preserve">2018 compared </w:t>
      </w:r>
      <w:r>
        <w:rPr>
          <w:rFonts w:ascii="Arial" w:cs="Arial" w:eastAsia="Arial" w:hAnsi="Arial"/>
          <w:sz w:val="18"/>
          <w:szCs w:val="18"/>
          <w:color w:val="auto"/>
        </w:rPr>
        <w:t>to 2017. Revenue in the fiscal year ended January 31, 2018 increased by $90.7 million, or 149%, compared to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31, 2017. The increase was substantially due to existing customers, which accounted for approximately 55% of the increase, and to new customers, which accounted for approximately 45% of the increase.</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 xml:space="preserve">2019 compared </w:t>
      </w:r>
      <w:r>
        <w:rPr>
          <w:rFonts w:ascii="Arial" w:cs="Arial" w:eastAsia="Arial" w:hAnsi="Arial"/>
          <w:sz w:val="18"/>
          <w:szCs w:val="18"/>
          <w:color w:val="auto"/>
        </w:rPr>
        <w:t>to 2018. Revenue in the fiscal year ended January 31, 2019 increased by $179.0 million, or 118%, compared to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31, 2018. The increase was substantially due to existing customers, which accounted for approximately 56% of the increase, and to new customers, which accounted for approximately 44% of the increase.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of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2"/>
          </w:tcPr>
          <w:p>
            <w:pPr>
              <w:jc w:val="center"/>
              <w:ind w:left="42"/>
              <w:spacing w:after="0" w:line="119" w:lineRule="exact"/>
              <w:rPr>
                <w:sz w:val="20"/>
                <w:szCs w:val="20"/>
                <w:color w:val="auto"/>
              </w:rPr>
            </w:pPr>
            <w:r>
              <w:rPr>
                <w:rFonts w:ascii="Arial" w:cs="Arial" w:eastAsia="Arial" w:hAnsi="Arial"/>
                <w:sz w:val="13"/>
                <w:szCs w:val="13"/>
                <w:b w:val="1"/>
                <w:bCs w:val="1"/>
                <w:color w:val="auto"/>
                <w:w w:val="96"/>
              </w:rPr>
              <w:t>2018</w:t>
            </w:r>
          </w:p>
        </w:tc>
        <w:tc>
          <w:tcPr>
            <w:tcW w:w="340" w:type="dxa"/>
            <w:vAlign w:val="bottom"/>
          </w:tcPr>
          <w:p>
            <w:pPr>
              <w:spacing w:after="0"/>
              <w:rPr>
                <w:sz w:val="10"/>
                <w:szCs w:val="10"/>
                <w:color w:val="auto"/>
              </w:rPr>
            </w:pPr>
          </w:p>
        </w:tc>
        <w:tc>
          <w:tcPr>
            <w:tcW w:w="680" w:type="dxa"/>
            <w:vAlign w:val="bottom"/>
            <w:gridSpan w:val="2"/>
          </w:tcPr>
          <w:p>
            <w:pPr>
              <w:jc w:val="center"/>
              <w:ind w:left="102"/>
              <w:spacing w:after="0" w:line="119"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6"/>
              </w:rPr>
              <w:t>vs</w:t>
            </w: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3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126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640" w:type="dxa"/>
            <w:vAlign w:val="bottom"/>
            <w:gridSpan w:val="2"/>
          </w:tcPr>
          <w:p>
            <w:pPr>
              <w:jc w:val="center"/>
              <w:ind w:left="82"/>
              <w:spacing w:after="0" w:line="149"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68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$12,472</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$ 30,780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$ 61,001</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147%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profit</w:t>
            </w:r>
          </w:p>
        </w:tc>
        <w:tc>
          <w:tcPr>
            <w:tcW w:w="3340" w:type="dxa"/>
            <w:vAlign w:val="bottom"/>
            <w:gridSpan w:val="2"/>
          </w:tcPr>
          <w:p>
            <w:pPr>
              <w:jc w:val="right"/>
              <w:ind w:right="340"/>
              <w:spacing w:after="0"/>
              <w:rPr>
                <w:sz w:val="20"/>
                <w:szCs w:val="20"/>
                <w:color w:val="auto"/>
              </w:rPr>
            </w:pPr>
            <w:r>
              <w:rPr>
                <w:rFonts w:ascii="Arial" w:cs="Arial" w:eastAsia="Arial" w:hAnsi="Arial"/>
                <w:sz w:val="18"/>
                <w:szCs w:val="18"/>
                <w:color w:val="auto"/>
              </w:rPr>
              <w:t>48,345</w:t>
            </w:r>
          </w:p>
        </w:tc>
        <w:tc>
          <w:tcPr>
            <w:tcW w:w="1260" w:type="dxa"/>
            <w:vAlign w:val="bottom"/>
          </w:tcPr>
          <w:p>
            <w:pPr>
              <w:jc w:val="right"/>
              <w:ind w:right="279"/>
              <w:spacing w:after="0"/>
              <w:rPr>
                <w:sz w:val="20"/>
                <w:szCs w:val="20"/>
                <w:color w:val="auto"/>
              </w:rPr>
            </w:pPr>
            <w:r>
              <w:rPr>
                <w:rFonts w:ascii="Arial" w:cs="Arial" w:eastAsia="Arial" w:hAnsi="Arial"/>
                <w:sz w:val="18"/>
                <w:szCs w:val="18"/>
                <w:color w:val="auto"/>
              </w:rPr>
              <w:t>120,698</w:t>
            </w:r>
          </w:p>
        </w:tc>
        <w:tc>
          <w:tcPr>
            <w:tcW w:w="900" w:type="dxa"/>
            <w:vAlign w:val="bottom"/>
          </w:tcPr>
          <w:p>
            <w:pPr>
              <w:jc w:val="right"/>
              <w:spacing w:after="0"/>
              <w:rPr>
                <w:sz w:val="20"/>
                <w:szCs w:val="20"/>
                <w:color w:val="auto"/>
              </w:rPr>
            </w:pPr>
            <w:r>
              <w:rPr>
                <w:rFonts w:ascii="Arial" w:cs="Arial" w:eastAsia="Arial" w:hAnsi="Arial"/>
                <w:sz w:val="18"/>
                <w:szCs w:val="18"/>
                <w:color w:val="auto"/>
              </w:rPr>
              <w:t>269,516</w:t>
            </w:r>
          </w:p>
        </w:tc>
        <w:tc>
          <w:tcPr>
            <w:tcW w:w="3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150</w:t>
            </w:r>
          </w:p>
        </w:tc>
        <w:tc>
          <w:tcPr>
            <w:tcW w:w="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2018 compared </w:t>
      </w:r>
      <w:r>
        <w:rPr>
          <w:rFonts w:ascii="Arial" w:cs="Arial" w:eastAsia="Arial" w:hAnsi="Arial"/>
          <w:sz w:val="16"/>
          <w:szCs w:val="16"/>
          <w:color w:val="auto"/>
        </w:rPr>
        <w:t>to 2017. Cost of revenue in the fiscal year ended January 31, 2018 increased by $18.3 million, or 147%, compared to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January 31, 2017. The increase in cost of revenue was primarily attributable to an increase of $10.9 million in costs related to our co-located data centers, third-party cloud hosting and integrated third-party PSTN services to support the increase in customers and expanded use of our video-first communications platform by existing customers, and an increase of $5.9 million in personnel-related expenses as a result of increased headcount.</w:t>
      </w:r>
    </w:p>
    <w:p>
      <w:pPr>
        <w:spacing w:after="0" w:line="154"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auto"/>
        </w:rPr>
        <w:t xml:space="preserve">2019 compared </w:t>
      </w:r>
      <w:r>
        <w:rPr>
          <w:rFonts w:ascii="Arial" w:cs="Arial" w:eastAsia="Arial" w:hAnsi="Arial"/>
          <w:sz w:val="16"/>
          <w:szCs w:val="16"/>
          <w:color w:val="auto"/>
        </w:rPr>
        <w:t>to 2018. Cost of revenue in the fiscal year ended January 31, 2019 increased by $30.2 million, or 98%, compared to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January 31, 2018. The increase in cost of revenue was primarily attributable to an increase of $16.2 million in costs related to our co-located data centers, third-party cloud hosting and integrated third-party PSTN services to support the increase in customers and expanded use of our video-first communications platform by existing customers, and an increase of $9.9 million in personnel-related expenses as a result of increased headcount.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7"/>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8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$9,218</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$15,733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2018 compared to 2017. </w:t>
      </w:r>
      <w:r>
        <w:rPr>
          <w:rFonts w:ascii="Arial" w:cs="Arial" w:eastAsia="Arial" w:hAnsi="Arial"/>
          <w:sz w:val="16"/>
          <w:szCs w:val="16"/>
          <w:color w:val="auto"/>
        </w:rPr>
        <w:t>Research and development expense in the fiscal year ended January 31, 2018 increased by $6.5 million, or 71%,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fiscal year ended January 31, 2017, as we continued to add new features and functionality to our video-first communications platform. The increase was primarily attributable to an increase in personnel-related expenses of $5.3 million as a result of increased headcount. The remainder of the increase was primarily attributable to increased expenses of $0.4 million related to equipment and software and $0.3 million in allocated overhead.</w:t>
      </w:r>
    </w:p>
    <w:p>
      <w:pPr>
        <w:spacing w:after="0" w:line="15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 xml:space="preserve">2019 compared to 2018. </w:t>
      </w:r>
      <w:r>
        <w:rPr>
          <w:rFonts w:ascii="Arial" w:cs="Arial" w:eastAsia="Arial" w:hAnsi="Arial"/>
          <w:sz w:val="18"/>
          <w:szCs w:val="18"/>
          <w:color w:val="auto"/>
        </w:rPr>
        <w:t>Research and development expense in the fiscal year ended January 31, 2019 increased by $17.3 million, or 110%,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fiscal year ended January 31, 2018, as we continued to add new features and functionality to our video-first communications platform. The increase was primarily attributable to an increase in personnel-related expenses of $13.2 million as a result of increased headcount. The remainder of the increase was primarily attributable to increased expenses of $1.0 million related to allocated overhead, $1.0 million related to stock-based compensation and $0.9 million in equipment and software.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w w:val="98"/>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9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68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9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$31,580</w:t>
            </w:r>
          </w:p>
        </w:tc>
        <w:tc>
          <w:tcPr>
            <w:tcW w:w="11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$82,707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$185,821</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2018 compared to 2017. </w:t>
      </w:r>
      <w:r>
        <w:rPr>
          <w:rFonts w:ascii="Arial" w:cs="Arial" w:eastAsia="Arial" w:hAnsi="Arial"/>
          <w:sz w:val="18"/>
          <w:szCs w:val="18"/>
          <w:color w:val="auto"/>
        </w:rPr>
        <w:t>Sales and marketing expense in the fiscal year ended January 31, 2018 increased by $51.1 million, or 162%,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year ended January 31, 2017. The increase in sales and marketing expense was primarily attributable to an increase in marketing and sales event-related costs of $22.3 million as a result of increased costs related to digital, awareness and tradeshow programs, including our user conference, Zoomtopia, and an increase in personnel-related expenses of $20.9 million as a result of increased headcount to support the growth in our sales force, which includes a $6.5 million increase in sales commissions driven by our increase in revenue. The remainder of the increase was primarily attributable to increased expenses of $2.0 million in allocated overhead, $1.7 million in processing costs associated with sales, $1.0 million in rent and $0.9 million related to equipment and software.</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i w:val="1"/>
          <w:iCs w:val="1"/>
          <w:color w:val="auto"/>
        </w:rPr>
        <w:t>2019 compared to 2018</w:t>
      </w:r>
      <w:r>
        <w:rPr>
          <w:rFonts w:ascii="Arial" w:cs="Arial" w:eastAsia="Arial" w:hAnsi="Arial"/>
          <w:sz w:val="16"/>
          <w:szCs w:val="16"/>
          <w:color w:val="auto"/>
        </w:rPr>
        <w:t>. Sales and marketing expense in the fiscal year ended January 31, 2019 increased by $103.1 million, or 125%,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fiscal year ended January 31, 2018. The increase in sales and marketing expense was primarily attributable to an increase in personnel-related expenses of $50.1 million as a result of increased headcount to support the growth in our sales force, which included a $13.3 million increase in sales commissions driven by our increase in revenue. The increase was also driven by an increase in marketing and sales event-related costs of $33.1 million as a result of increased costs related to digital, awareness and tradeshow programs, including Zoomtopia. The remainder of the increase was primarily attributable to increased expenses of $3.0 million in processing costs associated with sales, $2.8 million in travel expenses, $2.8 million in allocated overhead, $2.7 million related to stock-based compensation, $2.1 million in rent expense, and $1.7 million related to equipment and software.</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7"/>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8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$7,547</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$27,091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i w:val="1"/>
          <w:iCs w:val="1"/>
          <w:color w:val="auto"/>
        </w:rPr>
        <w:t>2018 compared to 2017</w:t>
      </w:r>
      <w:r>
        <w:rPr>
          <w:rFonts w:ascii="Arial" w:cs="Arial" w:eastAsia="Arial" w:hAnsi="Arial"/>
          <w:sz w:val="16"/>
          <w:szCs w:val="16"/>
          <w:color w:val="auto"/>
        </w:rPr>
        <w:t>. General and administrative expense in the fiscal year ended January 31, 2018 increased by $19.5 million, or 259%,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fiscal year ended January 31, 2017. The increase in general and administrative expense was primarily due to an increase in stock-based compensation expense of $8.7 million. The increase in stock-based compensation was primarily due to the sale of common stock by our Chief Executive Officer to an existing stockholder, which resulted in the recognition of stock-based compensation expense of $8.6 million for the difference between the purchase price and the fair value of our common stock at the time of sale. Refer to Note 7 to our consolidated financial statements included elsewhere in this prospectus for more information regarding this transaction. The remainder of the increase was primarily attributable to increased expenses of $4.0 million related to a contingent liability for sales and other taxes, $3.3 million in personnel-related expenses as a result of increased headcount,</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$1.2 million for external accounting and consulting services, $0.8 million related to equipment and software and $0.6 million in allocated overhead.</w:t>
      </w:r>
    </w:p>
    <w:p>
      <w:pPr>
        <w:spacing w:after="0" w:line="22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General and administrative expense in the fiscal year ended January 31, 2019 increased by $17.4 million, or 64%,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fiscal year ended January 31, 2018. The increase in general and administrative expense was primarily due to an increase of $7.8 million in personnel-related expenses as a result of increased headcount, increased expenses of $7.0 million related to a contingent liability for sales and other taxes, $3.3 million for external accounting and consulting services, $1.3 million in legal expenses, $1.2 million in bad debt expense, and $1.1 million related to equipment and software, partially offset by a decrease of $6.0 million in stock-based compensation expense due to the sale of common stock by our Chief Executive Officer to an existing stockholder in fiscal 2018, which resulted in the recognition of stock-based compensation expense of $8.6 million in fiscal 2018. Refer to Note 7 to our consolidated financial statements included elsewhere in this prospectus for more information regarding this transaction.</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w w:val="98"/>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6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1680" w:type="dxa"/>
            <w:vAlign w:val="bottom"/>
            <w:gridSpan w:val="3"/>
          </w:tcPr>
          <w:p>
            <w:pPr>
              <w:jc w:val="center"/>
              <w:ind w:left="2"/>
              <w:spacing w:after="0" w:line="119" w:lineRule="exact"/>
              <w:rPr>
                <w:sz w:val="20"/>
                <w:szCs w:val="20"/>
                <w:color w:val="auto"/>
              </w:rPr>
            </w:pPr>
            <w:r>
              <w:rPr>
                <w:rFonts w:ascii="Arial" w:cs="Arial" w:eastAsia="Arial" w:hAnsi="Arial"/>
                <w:sz w:val="13"/>
                <w:szCs w:val="13"/>
                <w:b w:val="1"/>
                <w:bCs w:val="1"/>
                <w:color w:val="auto"/>
                <w:w w:val="95"/>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$ 98</w:t>
            </w:r>
          </w:p>
        </w:tc>
        <w:tc>
          <w:tcPr>
            <w:tcW w:w="116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$1,241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1,166%</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i w:val="1"/>
          <w:iCs w:val="1"/>
          <w:color w:val="auto"/>
        </w:rPr>
        <w:t>2018 compared to 2017</w:t>
      </w:r>
      <w:r>
        <w:rPr>
          <w:rFonts w:ascii="Arial" w:cs="Arial" w:eastAsia="Arial" w:hAnsi="Arial"/>
          <w:sz w:val="16"/>
          <w:szCs w:val="16"/>
          <w:color w:val="auto"/>
        </w:rPr>
        <w:t>. Interest income, net for the fiscal year ended January 31, 2018 increased by $1.1 million, or 1,166%,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January 31, 2017. The increase was primarily driven by interest income earned from our investments in marketable securities.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Interest income, net for the fiscal year ended January 31, 2019 increased by $0.6 million, or 48%, compared to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January 31, 2018. The increase was primarily driven by $0.8 million of interest income earned from our investments in marketable securities, partially offset by $0.2 million in interest expenses on convertible promissory notes.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2018 vs</w:t>
            </w:r>
          </w:p>
        </w:tc>
        <w:tc>
          <w:tcPr>
            <w:tcW w:w="180" w:type="dxa"/>
            <w:vAlign w:val="bottom"/>
          </w:tcPr>
          <w:p>
            <w:pPr>
              <w:spacing w:after="0"/>
              <w:rPr>
                <w:sz w:val="10"/>
                <w:szCs w:val="10"/>
                <w:color w:val="auto"/>
              </w:rPr>
            </w:pP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auto"/>
                <w:w w:val="93"/>
              </w:rPr>
              <w:t>2019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98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2018</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540" w:type="dxa"/>
            <w:vAlign w:val="bottom"/>
            <w:gridSpan w:val="3"/>
          </w:tcPr>
          <w:p>
            <w:pPr>
              <w:jc w:val="center"/>
              <w:ind w:left="1"/>
              <w:spacing w:after="0" w:line="149"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w:t>
            </w:r>
          </w:p>
        </w:tc>
        <w:tc>
          <w:tcPr>
            <w:tcW w:w="98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$ 74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w w:val="94"/>
              </w:rPr>
              <w:t>There were no significant changes to other income, net during the respective periods.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i w:val="1"/>
                <w:iCs w:val="1"/>
                <w:color w:val="auto"/>
              </w:rPr>
              <w:t>Provision for Income Taxes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4"/>
              </w:rPr>
              <w:t>Year Ended January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2018 vs</w:t>
            </w:r>
          </w:p>
        </w:tc>
        <w:tc>
          <w:tcPr>
            <w:tcW w:w="32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auto"/>
                <w:w w:val="93"/>
              </w:rPr>
              <w:t>2019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98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98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$304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$765</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60" w:firstLine="441"/>
        <w:spacing w:after="0" w:line="308" w:lineRule="auto"/>
        <w:rPr>
          <w:sz w:val="20"/>
          <w:szCs w:val="20"/>
          <w:color w:val="auto"/>
        </w:rPr>
      </w:pPr>
      <w:r>
        <w:rPr>
          <w:rFonts w:ascii="Arial" w:cs="Arial" w:eastAsia="Arial" w:hAnsi="Arial"/>
          <w:sz w:val="17"/>
          <w:szCs w:val="17"/>
          <w:i w:val="1"/>
          <w:iCs w:val="1"/>
          <w:color w:val="auto"/>
        </w:rPr>
        <w:t xml:space="preserve">2018 compared to 2017. </w:t>
      </w:r>
      <w:r>
        <w:rPr>
          <w:rFonts w:ascii="Arial" w:cs="Arial" w:eastAsia="Arial" w:hAnsi="Arial"/>
          <w:sz w:val="17"/>
          <w:szCs w:val="17"/>
          <w:color w:val="auto"/>
        </w:rPr>
        <w:t>Provision for income taxes for the fiscal year ended January 31, 2018 increased by $0.1 million, or 77%,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ended January 31, 2017. The change in provision for income taxes was due primarily to international operations.</w:t>
      </w:r>
    </w:p>
    <w:p>
      <w:pPr>
        <w:spacing w:after="0" w:line="147"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i w:val="1"/>
          <w:iCs w:val="1"/>
          <w:color w:val="auto"/>
        </w:rPr>
        <w:t xml:space="preserve">2019 compared to 2018. </w:t>
      </w:r>
      <w:r>
        <w:rPr>
          <w:rFonts w:ascii="Arial" w:cs="Arial" w:eastAsia="Arial" w:hAnsi="Arial"/>
          <w:sz w:val="17"/>
          <w:szCs w:val="17"/>
          <w:color w:val="auto"/>
        </w:rPr>
        <w:t>Provision for income taxes for the fiscal year ended January 31, 2019 increased by $0.5 million, or 152%,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fiscal year ended January 31, 2018. The change in provision for income taxes was due primarily to international operations.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10"/>
                <w:szCs w:val="10"/>
                <w:color w:val="auto"/>
              </w:rPr>
            </w:pPr>
          </w:p>
        </w:tc>
        <w:tc>
          <w:tcPr>
            <w:tcW w:w="7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July 31,</w:t>
            </w:r>
          </w:p>
        </w:tc>
        <w:tc>
          <w:tcPr>
            <w:tcW w:w="1040" w:type="dxa"/>
            <w:vAlign w:val="bottom"/>
            <w:gridSpan w:val="4"/>
          </w:tcPr>
          <w:p>
            <w:pPr>
              <w:jc w:val="right"/>
              <w:ind w:right="200"/>
              <w:spacing w:after="0" w:line="119" w:lineRule="exact"/>
              <w:rPr>
                <w:sz w:val="20"/>
                <w:szCs w:val="20"/>
                <w:color w:val="auto"/>
              </w:rPr>
            </w:pPr>
            <w:r>
              <w:rPr>
                <w:rFonts w:ascii="Arial" w:cs="Arial" w:eastAsia="Arial" w:hAnsi="Arial"/>
                <w:sz w:val="13"/>
                <w:szCs w:val="13"/>
                <w:b w:val="1"/>
                <w:bCs w:val="1"/>
                <w:color w:val="auto"/>
              </w:rPr>
              <w:t>October 31,</w:t>
            </w:r>
          </w:p>
        </w:tc>
        <w:tc>
          <w:tcPr>
            <w:tcW w:w="1020" w:type="dxa"/>
            <w:vAlign w:val="bottom"/>
            <w:gridSpan w:val="4"/>
          </w:tcPr>
          <w:p>
            <w:pPr>
              <w:jc w:val="right"/>
              <w:ind w:right="180"/>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10"/>
                <w:szCs w:val="10"/>
                <w:color w:val="auto"/>
              </w:rPr>
            </w:pPr>
          </w:p>
        </w:tc>
        <w:tc>
          <w:tcPr>
            <w:tcW w:w="7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July 31,</w:t>
            </w:r>
          </w:p>
        </w:tc>
        <w:tc>
          <w:tcPr>
            <w:tcW w:w="102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October 31,</w:t>
            </w:r>
          </w:p>
        </w:tc>
        <w:tc>
          <w:tcPr>
            <w:tcW w:w="8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26,753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$32,921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$60,070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74,526</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90,121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105,800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21,254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73,278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12,693</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29,575</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41,054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53,454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58,131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74,341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20" w:type="dxa"/>
            <w:vAlign w:val="bottom"/>
            <w:shd w:val="clear" w:color="auto" w:fill="CCEEFF"/>
          </w:tcPr>
          <w:p>
            <w:pPr>
              <w:spacing w:after="0"/>
              <w:rPr>
                <w:sz w:val="18"/>
                <w:szCs w:val="18"/>
                <w:color w:val="auto"/>
              </w:rPr>
            </w:pP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r>
      <w:tr>
        <w:trPr>
          <w:trHeight w:val="209"/>
        </w:trPr>
        <w:tc>
          <w:tcPr>
            <w:tcW w:w="3540" w:type="dxa"/>
            <w:vAlign w:val="bottom"/>
            <w:gridSpan w:val="3"/>
          </w:tcPr>
          <w:p>
            <w:pPr>
              <w:spacing w:after="0"/>
              <w:rPr>
                <w:sz w:val="20"/>
                <w:szCs w:val="20"/>
                <w:color w:val="auto"/>
              </w:rPr>
            </w:pPr>
            <w:r>
              <w:rPr>
                <w:rFonts w:ascii="Arial" w:cs="Arial" w:eastAsia="Arial" w:hAnsi="Arial"/>
                <w:sz w:val="18"/>
                <w:szCs w:val="18"/>
                <w:color w:val="auto"/>
                <w:w w:val="97"/>
              </w:rPr>
              <w:t>Net income (loss) before provision for income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taxes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2,405</w:t>
            </w:r>
          </w:p>
        </w:tc>
        <w:tc>
          <w:tcPr>
            <w:tcW w:w="18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(6,202)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(6,259</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(1,340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April 30,</w:t>
            </w:r>
          </w:p>
        </w:tc>
        <w:tc>
          <w:tcPr>
            <w:tcW w:w="260" w:type="dxa"/>
            <w:vAlign w:val="bottom"/>
          </w:tcPr>
          <w:p>
            <w:pPr>
              <w:spacing w:after="0"/>
              <w:rPr>
                <w:sz w:val="10"/>
                <w:szCs w:val="10"/>
                <w:color w:val="auto"/>
              </w:rPr>
            </w:pPr>
          </w:p>
        </w:tc>
        <w:tc>
          <w:tcPr>
            <w:tcW w:w="7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July 31,</w:t>
            </w:r>
          </w:p>
        </w:tc>
        <w:tc>
          <w:tcPr>
            <w:tcW w:w="8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January 31,</w:t>
            </w:r>
          </w:p>
        </w:tc>
        <w:tc>
          <w:tcPr>
            <w:tcW w:w="8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April 30,</w:t>
            </w:r>
          </w:p>
        </w:tc>
        <w:tc>
          <w:tcPr>
            <w:tcW w:w="260" w:type="dxa"/>
            <w:vAlign w:val="bottom"/>
          </w:tcPr>
          <w:p>
            <w:pPr>
              <w:spacing w:after="0"/>
              <w:rPr>
                <w:sz w:val="10"/>
                <w:szCs w:val="10"/>
                <w:color w:val="auto"/>
              </w:rPr>
            </w:pPr>
          </w:p>
        </w:tc>
        <w:tc>
          <w:tcPr>
            <w:tcW w:w="5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July 31,</w:t>
            </w:r>
          </w:p>
        </w:tc>
        <w:tc>
          <w:tcPr>
            <w:tcW w:w="10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January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right"/>
              <w:ind w:right="193"/>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Total stock-based compensation expense</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April 30,</w:t>
            </w: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July 31,</w:t>
            </w: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October 31,</w:t>
            </w: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January 31,</w:t>
            </w:r>
          </w:p>
        </w:tc>
        <w:tc>
          <w:tcPr>
            <w:tcW w:w="11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April 30,</w:t>
            </w: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July 31,</w:t>
            </w:r>
          </w:p>
        </w:tc>
        <w:tc>
          <w:tcPr>
            <w:tcW w:w="11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Cost of revenue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Gross profit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Operating expenses: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80" w:type="dxa"/>
            <w:vAlign w:val="bottom"/>
          </w:tcPr>
          <w:p>
            <w:pPr>
              <w:ind w:left="640"/>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4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6"/>
                <w:szCs w:val="16"/>
                <w:color w:val="auto"/>
              </w:rPr>
              <w:t>Interest income, net</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0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600" w:type="dxa"/>
            <w:vAlign w:val="bottom"/>
            <w:gridSpan w:val="2"/>
          </w:tcPr>
          <w:p>
            <w:pPr>
              <w:spacing w:after="0"/>
              <w:rPr>
                <w:sz w:val="20"/>
                <w:szCs w:val="20"/>
                <w:color w:val="auto"/>
              </w:rPr>
            </w:pPr>
            <w:r>
              <w:rPr>
                <w:rFonts w:ascii="Arial" w:cs="Arial" w:eastAsia="Arial" w:hAnsi="Arial"/>
                <w:sz w:val="16"/>
                <w:szCs w:val="16"/>
                <w:color w:val="auto"/>
              </w:rPr>
              <w:t>Net income (loss) before provision</w:t>
            </w:r>
          </w:p>
        </w:tc>
        <w:tc>
          <w:tcPr>
            <w:tcW w:w="6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tcPr>
          <w:p>
            <w:pPr>
              <w:ind w:left="140"/>
              <w:spacing w:after="0"/>
              <w:rPr>
                <w:sz w:val="20"/>
                <w:szCs w:val="20"/>
                <w:color w:val="auto"/>
              </w:rPr>
            </w:pPr>
            <w:r>
              <w:rPr>
                <w:rFonts w:ascii="Arial" w:cs="Arial" w:eastAsia="Arial" w:hAnsi="Arial"/>
                <w:sz w:val="16"/>
                <w:szCs w:val="16"/>
                <w:color w:val="auto"/>
              </w:rPr>
              <w:t>for income taxes</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(19)</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6"/>
                <w:szCs w:val="16"/>
                <w:color w:val="auto"/>
              </w:rPr>
              <w:t>Net income (loss)</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00" w:type="dxa"/>
            <w:vAlign w:val="bottom"/>
            <w:gridSpan w:val="2"/>
            <w:vMerge w:val="continue"/>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Revenue increased sequentially in each of the quarters presented primarily due to sales of subscriptions to new customers and the expanded use of our video-first communications platform by existing customers. A substantial portion of the revenue that we report in each period is attributable to the recognition of deferred revenue related to orders that we received during previous periods. Consequently, increases or decreases in new sales or renewals in any one period may not be immediately reflected in our revenue for that period and may impact our revenue in future periods. Accordingly, the effect of downturns in sales and market acceptance of our video-first communications platform with new customers, and potential changes in our rate of renewals with existing customers, may not be fully reflected in our results of operations until future periods.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Cost of revenue increased sequentially in each of the quarters presented, primarily driven by expanded use of our video-first communications platform by new and existing customers, which resulted in increased costs related to our co-located data centers, third-party cloud hosting, integrated third-party PSTN services and personnel-related expenses.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Gross Profit Trends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Gross profit increased sequentially in each of the quarters presented, primarily driven by an increase in revenue. Our gross profit margins were consistent for all periods presented.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Operating Expenses Trends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total quarterly operating expenses increased sequentially for all periods presented due primarily to increases in headcount and other related expenses to support our growth. We intend to continue to make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significant investments in our sales and marketing organization to drive revenue growth. We have also experienced a seasonal increase in sales and marketing expenses in our third fiscal quarter due to costs associated with our user conference Zoomtopia. We also intend to continue investing in our research and development efforts to add new features to and enhance the functionality of our existing video-first communications platform, and to ensure the reliability, availability and scalability of our solutions. As a result, we anticipate that in future fiscal quarters, the majority of our research and development expenses will result from personnel-related expenses and from technology tools used by our engineers in research and development activities. During our second fiscal quarter in fiscal 2018, we experienced a significant increase in general and administrative expense due to the sale of shares of our common stock by our CEO to an existing investor. As a result, we recognized stock-based compensation expense for the difference between the purchase price and the fair value of the Company’s common stock at the time of sale. Refer to Note 7 to our consolidated financial statements included elsewhere in this prospectus for more information regarding this transaction. General and administrative expenses also include increased costs in recent fiscal quarters due to preparing to be a public company, a trend that we expect to continue for the foreseeable future.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January 31, 2019, our principal sources of liquidity were cash, cash equivalents and marketable securities of $176.4 million, which were held for working capital purposes. Our marketable securities generally consist of high-grade commercial paper, corporate bonds, agency bonds and U.S. government agency securities.</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Since our inception, we have financed our operations primarily through sales of equity securities and cash generated from operations. We also issued convertible promissory notes in an aggregate principal amount of $15.0 million to two strategic partners. Refer to Note 5 to our consolidated financial statements included elsewhere in this prospectus for more information regarding these transactions. Our principal uses of cash in recent periods have been funding our operations, investing in capital expenditures and repurchasing capital stock.</w:t>
      </w:r>
    </w:p>
    <w:p>
      <w:pPr>
        <w:spacing w:after="0" w:line="17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During the fiscal years ended January 31, 2017 and 2018, we repurchased 4,000,000 and 1,365,800 shares of our Series A convertible preferred stock from certain stockholders for an aggregate amount of $15.0 million and $4.6 million, respectively, and subsequently retired such shares. Refer to Note 7 to our consolidated financial statements included elsewhere in this prospectus for more information regarding these transactions.</w:t>
      </w:r>
    </w:p>
    <w:p>
      <w:pPr>
        <w:spacing w:after="0" w:line="14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believe our existing cash, cash equivalents and marketable securities, together with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Year Ended January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164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9,361</w:t>
            </w: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  19,426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$ 51,332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(2,824)</w:t>
            </w:r>
          </w:p>
        </w:tc>
        <w:tc>
          <w:tcPr>
            <w:tcW w:w="1640" w:type="dxa"/>
            <w:vAlign w:val="bottom"/>
          </w:tcPr>
          <w:p>
            <w:pPr>
              <w:jc w:val="right"/>
              <w:ind w:right="299"/>
              <w:spacing w:after="0"/>
              <w:rPr>
                <w:sz w:val="20"/>
                <w:szCs w:val="20"/>
                <w:color w:val="auto"/>
              </w:rPr>
            </w:pPr>
            <w:r>
              <w:rPr>
                <w:rFonts w:ascii="Arial" w:cs="Arial" w:eastAsia="Arial" w:hAnsi="Arial"/>
                <w:sz w:val="18"/>
                <w:szCs w:val="18"/>
                <w:color w:val="auto"/>
              </w:rPr>
              <w:t>(113,357)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(39,719)</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100,267</w:t>
            </w:r>
          </w:p>
        </w:tc>
        <w:tc>
          <w:tcPr>
            <w:tcW w:w="16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(3,997)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0" w:type="dxa"/>
            <w:vAlign w:val="bottom"/>
          </w:tcPr>
          <w:p>
            <w:pPr>
              <w:jc w:val="right"/>
              <w:ind w:right="2050"/>
              <w:spacing w:after="0"/>
              <w:rPr>
                <w:sz w:val="20"/>
                <w:szCs w:val="20"/>
                <w:color w:val="auto"/>
              </w:rPr>
            </w:pPr>
            <w:r>
              <w:rPr>
                <w:rFonts w:ascii="Arial" w:cs="Arial" w:eastAsia="Arial" w:hAnsi="Arial"/>
                <w:sz w:val="18"/>
                <w:szCs w:val="18"/>
                <w:color w:val="auto"/>
              </w:rPr>
              <w:t>68</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Net cash provided by operating activities of $9.4 million for the fiscal year ended January 31, 2017 was primarily due to non-cash charges for depreciation and amortization of $1.2 million, amortization of deferred contract acquisition costs, primarily commissions, of $3.1 million, stock-based compensation of $1.0 million and provision for accounts receivable allowances of $0.3 million. Changes in operating assets and liabilities were favorable to cash flows from operations by $3.7 million primarily due to an increase in deferred revenue of $15.0 million from increases in sales and an increase in accounts payable, accrued expenses and other liabilities of $6.6 million, partially offset by an addition to deferred contract acquisition costs of $11.2 million, an increase to accounts receivable of $5.9 million due to increases in sales and an increase in prepaid expenses and other assets of $0.9 million.</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Net cash provided by operating activities of $19.4 million for the fiscal year ended January 31, 2018 was primarily due to net loss of $3.8 million, offset by non-cash charges for depreciation and amortization of $2.8 million, amortization of deferred contract acquisition costs, primarily commissions, of $9.0 million, stock-based compensation of $10.3 million and provision for accounts receivable allowances of $0.7 million. Changes in operating assets and liabilities were favorable to cash flows from operations by $0.3 million primarily due to an increase in deferred revenue of $31.5 million from increases in sales, and an increase in accounts payable and accrued expenses and other liabilities of $16.3 million, partially offset by an addition to deferred contract acquisition costs of $27.5 million, an increase to accounts receivable of $16.6 million due to increases in sales and an increase in prepaid expenses and other assets of $3.4 million.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provided by operating activities of $51.3 million for the fiscal year ended January 31, 2019 was primarily due to net income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$7.6 million, non-cash charges for depreciation and amortization of $7.0 million, amortization of deferred contract acquisition costs, primarily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commissions, of $20.8 million, stock-based compensation of $8.9 million and provision for accounts receivable allowances of $2.0 million. Changes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operating assets and liabilities were favorable to cash flows from operations by $5.0 million primarily due to an increase in deferred revenue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$71.5 million due to increases in sales, and an increase in accounts payable and accrued expenses and other liabilities of $28.2 million, partially offset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an addition to deferred contract acquisition costs of $45.8 million, an increase to accounts receivable of $41.0 million due to increases in sales and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in prepaid expenses and other assets of $8.0 million.</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Net cash used in investing activities of $2.8 million for the fiscal year ended January 31, 2017 was related to capital expenditures of $4.8 million, partially offset by principal payment received on a note receivable of $2.0 million. Refer to Note 10 to our consolidated financial statements included elsewhere in this prospectus for more information regarding the note receivable.</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Net cash used in investing activities of $113.4 million for the fiscal year ended January 31, 2018 was related to net purchases of marketable securities of $103.6 million and capital expenditures of $9.7 million.</w:t>
      </w:r>
    </w:p>
    <w:p>
      <w:pPr>
        <w:spacing w:after="0" w:line="170" w:lineRule="exact"/>
        <w:rPr>
          <w:sz w:val="20"/>
          <w:szCs w:val="20"/>
          <w:color w:val="auto"/>
        </w:rPr>
      </w:pPr>
    </w:p>
    <w:p>
      <w:pPr>
        <w:ind w:left="200" w:right="960" w:firstLine="441"/>
        <w:spacing w:after="0" w:line="342" w:lineRule="auto"/>
        <w:rPr>
          <w:sz w:val="20"/>
          <w:szCs w:val="20"/>
          <w:color w:val="auto"/>
        </w:rPr>
      </w:pPr>
      <w:r>
        <w:rPr>
          <w:rFonts w:ascii="Arial" w:cs="Arial" w:eastAsia="Arial" w:hAnsi="Arial"/>
          <w:sz w:val="16"/>
          <w:szCs w:val="16"/>
          <w:color w:val="auto"/>
        </w:rPr>
        <w:t>Net cash used in investing activities of $39.7 million for the fiscal year ended January 31, 2019 was related to capital expenditures of $28.4 million, net purchases of marketable securities of $9.3 million and purchases of intangible assets of $2.0 million.</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Net cash provided by financing activities of $100.3 million for the fiscal year ended January 31, 2017 was primarily related to net proceeds from our Series D convertible preferred stock financing of $114.8 million, partially offset by the repurchase of Series A convertible preferred stock of $15.0 million.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Net cash used in financing activities of $4.0 million for the fiscal year ended January 31, 2018 was primarily related to the repurchase of Series A convertible preferred stock of $4.6 million, partially offset by proceeds from the exercise of stock options of $0.7 million.</w:t>
      </w:r>
    </w:p>
    <w:p>
      <w:pPr>
        <w:spacing w:after="0" w:line="14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cash provided by financing activities of $17.5 million for the fiscal year ended January 31, 2019 was primarily related to the issuance of convertible promissory notes of $15.0 million and the exercise of stock options of $3.6 million, partially offset by payments of deferred offering costs of $0.9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Remaining Performance Obligation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non-cancelable contractual obligations as of January 31,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36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1 – 3</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3 – 5</w:t>
            </w:r>
          </w:p>
        </w:tc>
        <w:tc>
          <w:tcPr>
            <w:tcW w:w="88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1 Year</w:t>
            </w:r>
          </w:p>
        </w:tc>
        <w:tc>
          <w:tcPr>
            <w:tcW w:w="3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$56,657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Non-cancellable purchase obligations</w:t>
            </w:r>
          </w:p>
        </w:tc>
        <w:tc>
          <w:tcPr>
            <w:tcW w:w="18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15,958</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contractual obligations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81,772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23,567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24,862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Through January 31,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The vast majority of our cash generated from revenue are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financials for the fiscal years ended January 31, 2017, 2018 and 2019.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had cash and cash equivalents of $63.6 million and marketable securities of $112.8 million as of January 31, 2019. Cash and cash equivalents consist of bank deposits and money market funds. Our marketable securities generally consist of high-grade commercial paper, corporate bonds, agency bonds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2017, 2018 and 2019.</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Performance obligations committed in a contract are identified based on the services that will be transferred to the customer that are both capable of being distinct, whereby the customer can benefit from the service either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8"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7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 are time-based arrangements and revenue is recognized as these services are performed.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Contract liabilities consist of deferred revenue. Revenue is deferred when we have the right to invoice in advance of performance under a customer contract. The current portion of deferred revenue balances are recognized during the following 12-month period.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to Obtain a Contract</w:t>
      </w:r>
    </w:p>
    <w:p>
      <w:pPr>
        <w:spacing w:after="0" w:line="12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167"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Our use of the Black-Scholes option-pricing model requires the input of highly subjective assumptions. If factors change and different assumptions are used, our stock-based compensation expense could be materially different in the future.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assumptions and estimates are as follows:</w:t>
      </w:r>
    </w:p>
    <w:p>
      <w:pPr>
        <w:spacing w:after="0" w:line="131" w:lineRule="exact"/>
        <w:rPr>
          <w:sz w:val="20"/>
          <w:szCs w:val="20"/>
          <w:color w:val="auto"/>
        </w:rPr>
      </w:pPr>
    </w:p>
    <w:p>
      <w:pPr>
        <w:ind w:left="1060" w:right="300" w:hanging="424"/>
        <w:spacing w:after="0" w:line="279"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As our common stock is not publicly traded, the fair value was determined by our board of directors, with</w:t>
      </w:r>
      <w:r>
        <w:rPr>
          <w:rFonts w:ascii="Arial" w:cs="Arial" w:eastAsia="Arial" w:hAnsi="Arial"/>
          <w:sz w:val="17"/>
          <w:szCs w:val="17"/>
          <w:i w:val="1"/>
          <w:iCs w:val="1"/>
          <w:color w:val="auto"/>
        </w:rPr>
        <w:t xml:space="preserve"> </w:t>
      </w:r>
      <w:r>
        <w:rPr>
          <w:rFonts w:ascii="Arial" w:cs="Arial" w:eastAsia="Arial" w:hAnsi="Arial"/>
          <w:sz w:val="17"/>
          <w:szCs w:val="17"/>
          <w:color w:val="auto"/>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6"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75" w:lineRule="exact"/>
        <w:rPr>
          <w:rFonts w:ascii="Arial" w:cs="Arial" w:eastAsia="Arial" w:hAnsi="Arial"/>
          <w:sz w:val="18"/>
          <w:szCs w:val="18"/>
          <w:color w:val="auto"/>
        </w:rPr>
      </w:pPr>
    </w:p>
    <w:p>
      <w:pPr>
        <w:jc w:val="both"/>
        <w:ind w:left="1060" w:right="40" w:hanging="424"/>
        <w:spacing w:after="0" w:line="26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64" w:lineRule="auto"/>
        <w:rPr>
          <w:sz w:val="20"/>
          <w:szCs w:val="20"/>
          <w:color w:val="auto"/>
        </w:rPr>
      </w:pPr>
      <w:r>
        <w:rPr>
          <w:rFonts w:ascii="Arial" w:cs="Arial" w:eastAsia="Arial" w:hAnsi="Arial"/>
          <w:sz w:val="18"/>
          <w:szCs w:val="18"/>
          <w:color w:val="auto"/>
        </w:rPr>
        <w:t>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87" w:lineRule="exact"/>
        <w:rPr>
          <w:sz w:val="20"/>
          <w:szCs w:val="20"/>
          <w:color w:val="auto"/>
        </w:rPr>
      </w:pPr>
    </w:p>
    <w:p>
      <w:pPr>
        <w:ind w:left="1060" w:right="40" w:hanging="424"/>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86" w:lineRule="exact"/>
        <w:rPr>
          <w:rFonts w:ascii="Arial" w:cs="Arial" w:eastAsia="Arial" w:hAnsi="Arial"/>
          <w:sz w:val="18"/>
          <w:szCs w:val="18"/>
          <w:color w:val="auto"/>
        </w:rPr>
      </w:pPr>
    </w:p>
    <w:p>
      <w:pPr>
        <w:ind w:left="1060" w:right="72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Black-Scholes assumptions used in evaluating our awards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Year Ended January 31,</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8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auto"/>
              </w:rPr>
              <w:t>2017</w:t>
            </w:r>
          </w:p>
        </w:tc>
        <w:tc>
          <w:tcPr>
            <w:tcW w:w="1580" w:type="dxa"/>
            <w:vAlign w:val="bottom"/>
            <w:gridSpan w:val="3"/>
          </w:tcPr>
          <w:p>
            <w:pPr>
              <w:jc w:val="right"/>
              <w:ind w:right="5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8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6.7</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820" w:type="dxa"/>
            <w:vAlign w:val="bottom"/>
          </w:tcPr>
          <w:p>
            <w:pPr>
              <w:ind w:left="20"/>
              <w:spacing w:after="0"/>
              <w:rPr>
                <w:sz w:val="20"/>
                <w:szCs w:val="20"/>
                <w:color w:val="auto"/>
              </w:rPr>
            </w:pPr>
            <w:r>
              <w:rPr>
                <w:rFonts w:ascii="Arial" w:cs="Arial" w:eastAsia="Arial" w:hAnsi="Arial"/>
                <w:sz w:val="18"/>
                <w:szCs w:val="18"/>
                <w:color w:val="auto"/>
              </w:rPr>
              <w:t>– 56.3%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52.0%</w:t>
            </w:r>
          </w:p>
        </w:tc>
        <w:tc>
          <w:tcPr>
            <w:tcW w:w="660" w:type="dxa"/>
            <w:vAlign w:val="bottom"/>
          </w:tcPr>
          <w:p>
            <w:pPr>
              <w:jc w:val="right"/>
              <w:spacing w:after="0"/>
              <w:rPr>
                <w:sz w:val="20"/>
                <w:szCs w:val="20"/>
                <w:color w:val="auto"/>
              </w:rPr>
            </w:pPr>
            <w:r>
              <w:rPr>
                <w:rFonts w:ascii="Arial" w:cs="Arial" w:eastAsia="Arial" w:hAnsi="Arial"/>
                <w:sz w:val="18"/>
                <w:szCs w:val="18"/>
                <w:color w:val="auto"/>
              </w:rPr>
              <w:t>44.6%</w:t>
            </w:r>
          </w:p>
        </w:tc>
        <w:tc>
          <w:tcPr>
            <w:tcW w:w="820" w:type="dxa"/>
            <w:vAlign w:val="bottom"/>
          </w:tcPr>
          <w:p>
            <w:pPr>
              <w:ind w:left="20"/>
              <w:spacing w:after="0"/>
              <w:rPr>
                <w:sz w:val="20"/>
                <w:szCs w:val="20"/>
                <w:color w:val="auto"/>
              </w:rPr>
            </w:pPr>
            <w:r>
              <w:rPr>
                <w:rFonts w:ascii="Arial" w:cs="Arial" w:eastAsia="Arial" w:hAnsi="Arial"/>
                <w:sz w:val="18"/>
                <w:szCs w:val="18"/>
                <w:color w:val="auto"/>
              </w:rPr>
              <w:t>– 48.2%</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c>
          <w:tcPr>
            <w:tcW w:w="1580" w:type="dxa"/>
            <w:vAlign w:val="bottom"/>
            <w:gridSpan w:val="3"/>
          </w:tcPr>
          <w:p>
            <w:pPr>
              <w:jc w:val="right"/>
              <w:ind w:right="47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In valuing our common stock, the fair value of our business, or enterprise value, was determined using either the market approach or a combination of the market and income approaches. The market approach estimates value based on a comparison of the subject company to comparable public companies in a similar line of business and secondary transactions of our capital stock. From the comparable companies, a representative market value multiple is determined and then applied to the subject company’s financial results to estimate the value of the subject company. The market approach also includes consideration of the transaction price of secondary sales of our capital stock by investors. The income approach estimates the fair value of a company based on the present value of the company’s future estimated cash flows and the residual value of the company beyond the forecast period. These future cash flows, including the cash flows beyond the forecast period for the residual value, are discounted to their present values using an appropriate discount rate, to reflect the risks inherent in the company achieving these estimated cash flows.</w:t>
      </w:r>
    </w:p>
    <w:p>
      <w:pPr>
        <w:spacing w:after="0" w:line="166"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The resulting equity value is then allocated to each class of stock using an Option Pricing Model (OPM). The OPM treats common stock and convertible preferred stock as call options on an equity value, with exercise prices based on the liquidation preference of our convertible preferred stock. The common stock is modeled as a call option with a claim on the equity value at an exercise price equal to the remaining value immediately after our convertible preferred stock is liquidated. The exclusive reliance on the OPM through July 31, 2018 was appropriate when the range of possible future outcomes was difficult to predict and resulted in a highly speculative forecast. Beginning in October 2018, we performed the equity allocation using a probability weighted expected return method, or PWERM. The PWERM involves the estimation of the value of our company under multiple future potential outcomes, and estimates the probability of each potential outcome. The per share value of our common stock when determined using the PWERM was ultimately based upon probability-weighted per share values resulting from the various future scenarios, which include an initial public offering, merger or sale, or continued operation as a private company. After the equity value was determined and allocated to the various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classes of shares, a discount for lack of marketability (DLOM) was applied to arrive at the fair value of common stock on a non-marketable basis.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8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assessments of the fair value of common stock for grant dates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or a straight-line interpolation between the two valuation dates. This determination included an evaluation of whether the subsequent valuation indicated that any significant change in valuation had occurred between the previous valuation and the grant date.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Preliminary Offering Price and Options Granted in January 2019 and Subsequent to January 31, 2019</w:t>
      </w:r>
    </w:p>
    <w:p>
      <w:pPr>
        <w:spacing w:after="0" w:line="117"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Subsequent to January 31, 2019, we granted stock options to purchase up to 1,147,500 shares of Class B common stock with a weighted-average exercise price of $26.09 per share which generally vest over a period of 48 months. Based on the midpoint of the estimated price range set forth on the cover page of this prospectus, we estimate we will recognize approximately $23.7 million of stock-based compensation expense related to these stock options generally over the requisite service period of 48 months.</w:t>
      </w:r>
    </w:p>
    <w:p>
      <w:pPr>
        <w:spacing w:after="0" w:line="18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In addition, in light of the difference between the fair value used for stock options granted on January 24, 2019 and the midpoint of the estimated price range set forth on the cover page of this prospectus, in order to determine the appropriate share-based compensation expense for those stock options for financial reporting purposes, we reassessed the share-based compensation expense using the midpoint of the estimated price range. We are recognizing $17.9 million of stock-based compensation expense related to these option grants generally over the requisite service period of 48 months. Since these options were granted near the end of fiscal 2019, the amount of stock-based compensation expense recognized in that fiscal period for these stock option grants is immaterial, and the incremental amount of additional expense in fiscal 2019 as a result of this reassessment using the midpoint of the estimated price range is also immaterial. Therefore, we will record an out-of-period adjustment in the first quarter of fiscal 2020 to “catch-up” the incremental amount of additional expense for these stock option grants that would have otherwise been recorded in fiscal 2019.</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amount of stock-based compensation expense related to these option grants is preliminary and unaudited, based upon our estimates, and subject to further internal review by our management and compilation of actual results. We have provided an estimate for this expense primarily because we have not completed the first quarter of fiscal 2020, and therefore, we have not started, much less completed, our closing procedures for the quarter. Our management’s estimates are based upon information currently available and could change as a result of the final offering price or other factors. While we expect that our estimate of stock-based compensation expense related to these option grants is reasonable based on all information currently available, our actual expense may differ materially from these preliminary estimates.</w:t>
      </w:r>
    </w:p>
    <w:p>
      <w:pPr>
        <w:spacing w:after="0" w:line="17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Upon the completion of this offering, our common stock will be publicly traded and we will rely on the closing price of our common stock as reported on the date of grant to determine the fair value of our common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fair value of the derivative liabilities were measured using a with-and-without approach. Inputs used to determine the estimated fair value of the derivative instruments include the probability estimates of potential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settlement scenarios for the convertible promissory notes, a present value discount rate and an estimate of the 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See “Summary of Business and Significant Accounting Policies” in Note 1 of the notes to our consolidated financial statements included elsewhere in this prospectus for more information.</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240" w:top="459" w:right="5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LETTER FROM ERIC S. YUAN</w:t>
      </w:r>
    </w:p>
    <w:p>
      <w:pPr>
        <w:spacing w:after="0" w:line="22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Thank you for reading our prospectus and considering an investment in Zoom. As the founder and CEO of Zoom, it is my privilege to share with you what we’re all about.</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Life is about the pursuit of happiness. The greatest, most sustainable happiness comes from making others happy. Delivering happiness is what we do at Zoom.</w:t>
      </w:r>
    </w:p>
    <w:p>
      <w:pPr>
        <w:spacing w:after="0" w:line="17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Ten years ago, I was an engineering leader at a major technology company. I would visit customers, and they would tell me how unhappy they were with the technology in the videoconferencing market. This made me unhappy. There had to be something better – something designed for modern video communications, something that would deliver happiness. I knew that we would have to start from scratch to do it right.</w:t>
      </w:r>
    </w:p>
    <w:p>
      <w:pPr>
        <w:spacing w:after="0" w:line="166" w:lineRule="exact"/>
        <w:rPr>
          <w:sz w:val="20"/>
          <w:szCs w:val="20"/>
          <w:color w:val="auto"/>
        </w:rPr>
      </w:pPr>
    </w:p>
    <w:p>
      <w:pPr>
        <w:jc w:val="both"/>
        <w:ind w:left="200" w:right="200"/>
        <w:spacing w:after="0" w:line="302" w:lineRule="auto"/>
        <w:rPr>
          <w:sz w:val="20"/>
          <w:szCs w:val="20"/>
          <w:color w:val="auto"/>
        </w:rPr>
      </w:pPr>
      <w:r>
        <w:rPr>
          <w:rFonts w:ascii="Arial" w:cs="Arial" w:eastAsia="Arial" w:hAnsi="Arial"/>
          <w:sz w:val="16"/>
          <w:szCs w:val="16"/>
          <w:color w:val="auto"/>
        </w:rPr>
        <w:t>This experience underlies the Zoom happiness philosophy. Our focus is to keep both our customers and our employees happy. The sum of their joy is greater than its parts. Our customers and our employees make each other happy. We live this philosophy every day. We take care of our customers and employees. We built a video-first communications platform that is scalable, user friendly and reliable. We respond to our customers’ emails (quickly), talk with them face-to-face on Zoom, really listen to them and build the features and products they ask for (also quickly).</w:t>
      </w:r>
    </w:p>
    <w:p>
      <w:pPr>
        <w:spacing w:after="0" w:line="154"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Happiness delivers results. In 2018, our average customer Net Promoter Score was over 70, demonstrating that our high-quality, easy-to-use platform is making customers happy. We have consistently earned high scores across customer review sites, including Gartner Peer Insights, TrustRadius and G2 Crowd. And let’s not forget our employees. Zoom has received multiple awards from Glassdoor based on high ratings and reviews from our employees.</w:t>
      </w:r>
    </w:p>
    <w:p>
      <w:pPr>
        <w:spacing w:after="0" w:line="14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deliver much more than what people expect from video communications. Our team comes to work every day because our platform transforms the way people work together. For example, a medical care team discusses the plan to transition a pediatric patient off his feeding tube, the world’s largest brewery explores opportunities for using blockchain to pay its farmers, a state park brings students on an underwater exploration in Lake Tahoe – all face-to-face on Zoom. We are proud that our platform helps users around the world build trust, strengthen relationships, move faster and get meaningful things done.</w:t>
      </w:r>
    </w:p>
    <w:p>
      <w:pPr>
        <w:spacing w:after="0" w:line="18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It’s been over seven years since I founded Zoom, but this is just the beginning. There are a lot of people and companies that benefit from Zoom, but there are still plenty that haven’t yet explored the possibilities that Zoom can bring to their organizations. I want to give them video communications that make them happy. Video is the future of communications. If our customers are happy, the sky’s the limit. We must stay humble and paranoid about our customers’ and employees’ happiness.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a lot left to do. If you join us in this journey, you will become an integral part of this work and our family. Caring is our company’s core value.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care deeply for our community, our customers, our team and our company. And today, we want to add you to that list.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now, back to work, and back to making people happy,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1020445" cy="2489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044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 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happiness we bring is recognized by customers. In 2018, our average customer Net Promoter Score (NPS) was over 70. Industry analysts also recognize our market leadership: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89"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 $60.8 million,</w:t>
      </w:r>
    </w:p>
    <w:p>
      <w:pPr>
        <w:ind w:left="200" w:right="180"/>
        <w:spacing w:after="0" w:line="273" w:lineRule="auto"/>
        <w:rPr>
          <w:sz w:val="20"/>
          <w:szCs w:val="20"/>
          <w:color w:val="auto"/>
        </w:rPr>
      </w:pPr>
      <w:r>
        <w:rPr>
          <w:rFonts w:ascii="Arial" w:cs="Arial" w:eastAsia="Arial" w:hAnsi="Arial"/>
          <w:sz w:val="17"/>
          <w:szCs w:val="17"/>
          <w:color w:val="auto"/>
        </w:rPr>
        <w:t>$151.5 million and $330.5 million for the fiscal years ended January 31, 2017, 2018 and 2019, respectively, representing annual revenue growth of 149% and 118% for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Trends in Our Favor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 is at the Center of Organizational Performance</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Communication is fundamental for organizations. Effective communication keeps employees informed, builds trust, engages customers and enhances decision-making. High-quality communication increases happiness throughout teams and, when coupled with strong execution, can improve business performance. The evolving nature of the modern workforce has made communication even more important than it has been in the past. Fortunately, technological advances can be harnessed to create richer forms of communication that allow organizations to increase the happiness and performance of their workforce.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 and Collaboration Must Evolve as the Nature of Work is Changing</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1060" w:right="320" w:hanging="424"/>
        <w:spacing w:after="0" w:line="279"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are increasingly distributed</w:t>
      </w:r>
      <w:r>
        <w:rPr>
          <w:rFonts w:ascii="Arial" w:cs="Arial" w:eastAsia="Arial" w:hAnsi="Arial"/>
          <w:sz w:val="17"/>
          <w:szCs w:val="17"/>
          <w:color w:val="auto"/>
        </w:rPr>
        <w:t>. Historically, teams were physically located together, even in the largest organizations, to drive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productivity. Mobile and cloud technologies and ubiquitous network connectivity have enabled modern organizations to be increasingly distributed. Employees are asking to work remotely, and employers are targeting the best talent regardless of their location. Even though teams are more geographically distributed, it is still critical for them to work together effectively.</w:t>
      </w:r>
    </w:p>
    <w:p>
      <w:pPr>
        <w:spacing w:after="0" w:line="76" w:lineRule="exact"/>
        <w:rPr>
          <w:rFonts w:ascii="Arial" w:cs="Arial" w:eastAsia="Arial" w:hAnsi="Arial"/>
          <w:sz w:val="17"/>
          <w:szCs w:val="17"/>
          <w:color w:val="auto"/>
        </w:rPr>
      </w:pPr>
    </w:p>
    <w:p>
      <w:pPr>
        <w:ind w:left="1060" w:right="20" w:hanging="424"/>
        <w:spacing w:after="0" w:line="293" w:lineRule="auto"/>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Organizations seek to drive deeper engagement with employees, customers and partners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People derive more personal satisfaction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productive when they engage at a deeper level across internal and external business relationships. Historically, this was done through live, in-person interactions. With increasingly distributed workforces, maintaining this level of engagement is difficult. Outside of the workplace, video has become an increasingly popular medium by which people interact with their friends and family.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70"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Workforce demographics are changing. </w:t>
      </w:r>
      <w:r>
        <w:rPr>
          <w:rFonts w:ascii="Arial" w:cs="Arial" w:eastAsia="Arial" w:hAnsi="Arial"/>
          <w:sz w:val="18"/>
          <w:szCs w:val="18"/>
          <w:color w:val="auto"/>
        </w:rPr>
        <w:t>Shifting demographics alongside increasingly distributed workforces increase the need for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ways to communicate beyond in-person meetings. For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77" w:lineRule="auto"/>
        <w:rPr>
          <w:sz w:val="20"/>
          <w:szCs w:val="20"/>
          <w:color w:val="auto"/>
        </w:rPr>
      </w:pPr>
      <w:r>
        <w:rPr>
          <w:rFonts w:ascii="Arial" w:cs="Arial" w:eastAsia="Arial" w:hAnsi="Arial"/>
          <w:sz w:val="18"/>
          <w:szCs w:val="18"/>
          <w:color w:val="auto"/>
        </w:rPr>
        <w:t>example, millennials currently make up 35% of the U.S. workforce. This population values agility and flexibility in their work environment, and millennials expect technology to meet their needs and work seamlessly.</w:t>
      </w:r>
    </w:p>
    <w:p>
      <w:pPr>
        <w:spacing w:after="0" w:line="76" w:lineRule="exact"/>
        <w:rPr>
          <w:sz w:val="20"/>
          <w:szCs w:val="20"/>
          <w:color w:val="auto"/>
        </w:rPr>
      </w:pPr>
    </w:p>
    <w:p>
      <w:pPr>
        <w:ind w:left="1060" w:right="40" w:hanging="424"/>
        <w:spacing w:after="0" w:line="279"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are influencing IT decisions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are increasingly the primary force for IT modernization at work as they bring the latest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from their personal lives to their jobs. According to a 2017 report from Salesforce Research, 71% of employees want their companies to provide the same level of technology as they use in their personal lives. Employees often expect to seamlessly communicate on any device and across mediums and, as a result, are increasingly influencing IT decisions.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Organizations Need a Comprehensive Platform that Enables Modern Communication</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Many were built largely to support audio conference calls and were designed to run on-premises. Additionally, many legacy video services were built as an extension of an existing tool and are, therefore, not purpose-built to enable a high quality and reliable user experience.</w:t>
      </w:r>
    </w:p>
    <w:p>
      <w:pPr>
        <w:spacing w:after="0" w:line="17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This dynamic has resulted in organizations deploying disparate and siloed technologies to address each of the various ways in which people communicate, including video, voice, email, chat and content sharing. According to a 2017 study by Forbes Media LLC that we commissioned, 62% of organizations use three or more video conferencing solutions to address different communications needs. These disparate technologies are difficult for employees to adopt and navigate and cumbersome and expensive for IT to support and manage.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effectively enable modern communication, a comprehensive platform must have the following qualities:</w:t>
      </w:r>
    </w:p>
    <w:p>
      <w:pPr>
        <w:spacing w:after="0" w:line="131" w:lineRule="exact"/>
        <w:rPr>
          <w:sz w:val="20"/>
          <w:szCs w:val="20"/>
          <w:color w:val="auto"/>
        </w:rPr>
      </w:pPr>
    </w:p>
    <w:p>
      <w:pPr>
        <w:jc w:val="both"/>
        <w:ind w:left="1060" w:right="220" w:hanging="424"/>
        <w:spacing w:after="0" w:line="312"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Reliable, high-quality communications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have a significant need for a platform that reliably delivers high-quality video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voice, even with varying levels of network performance. Legacy approaches generally do not adequately optimize the quality of the video based on bandwidth or device. This deficiency can result in dropped calls, pixelated video and unsynchronized audio and video.</w:t>
      </w:r>
    </w:p>
    <w:p>
      <w:pPr>
        <w:spacing w:after="0" w:line="52" w:lineRule="exact"/>
        <w:rPr>
          <w:rFonts w:ascii="Arial" w:cs="Arial" w:eastAsia="Arial" w:hAnsi="Arial"/>
          <w:sz w:val="16"/>
          <w:szCs w:val="16"/>
          <w:color w:val="auto"/>
        </w:rPr>
      </w:pPr>
    </w:p>
    <w:p>
      <w:pPr>
        <w:ind w:left="1060" w:hanging="424"/>
        <w:spacing w:after="0" w:line="259"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Easy to use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drive broad adoption, a platform’s user interface must be intuitive and easily navigable. In addition, users want solutions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feature parity across devices and seamlessly integrate with their calendars, contacts and overall workflows. Multiple disparate legacy systems can be difficult for users to learn as they require product-specific knowledge, multiple passwords and understanding of overly complicated features, making them suboptimal.</w:t>
      </w:r>
    </w:p>
    <w:p>
      <w:pPr>
        <w:spacing w:after="0" w:line="92"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Easy to deploy and manage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want a single platform that is easy to deploy, leverages existing network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room hardware and is simple to manage at scale through an intuitive administrative console and reporting system. IT deployment of disparate tools for video, voice, chat and content sharing that do not easily integrate with each other dramatically increases cost and complexity. Moreover, frequent manual updates, redundant products, constant troubleshooting and requirements for extensive user support make these tools difficult to manage.</w:t>
      </w:r>
    </w:p>
    <w:p>
      <w:pPr>
        <w:spacing w:after="0" w:line="93" w:lineRule="exact"/>
        <w:rPr>
          <w:rFonts w:ascii="Arial" w:cs="Arial" w:eastAsia="Arial" w:hAnsi="Arial"/>
          <w:sz w:val="18"/>
          <w:szCs w:val="18"/>
          <w:color w:val="auto"/>
        </w:rPr>
      </w:pPr>
    </w:p>
    <w:p>
      <w:pPr>
        <w:ind w:left="1060" w:right="60" w:hanging="424"/>
        <w:spacing w:after="0" w:line="279"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Legacy systems often require significant proprietary infrastructure and conference room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Additionally, these systems may have unpredictable pricing based on usage that can vary from month to month. Organizations want a single platform that not only reduces the costs of proprietary infrastructure and conference room investments but also provides other opportunities for further cost savings, such as reducing unnecessary and expensive business travel.</w:t>
      </w:r>
    </w:p>
    <w:p>
      <w:pPr>
        <w:spacing w:after="0" w:line="76" w:lineRule="exact"/>
        <w:rPr>
          <w:rFonts w:ascii="Arial" w:cs="Arial" w:eastAsia="Arial" w:hAnsi="Arial"/>
          <w:sz w:val="17"/>
          <w:szCs w:val="17"/>
          <w:color w:val="auto"/>
        </w:rPr>
      </w:pPr>
    </w:p>
    <w:p>
      <w:pPr>
        <w:ind w:left="1060" w:right="200" w:hanging="424"/>
        <w:spacing w:after="0" w:line="264"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need a communications platform that can be optimized for their footprint and scales as they grow.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often require cumbersome infrastructure and stitching together of disparate systems to support a growing user base. Moreover, many legacy systems simply cannot meet the demands of large enterprises.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64"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Organizations need a platform that integrates with their physical workspaces and existing business applications. Most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were not designed to integrate easily with modern software applications or third-party devices, which can result in a frustrating experience.</w:t>
      </w:r>
    </w:p>
    <w:p>
      <w:pPr>
        <w:spacing w:after="0" w:line="86"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Flexible terms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also want to purchase technology under flexible terms that are right-sized for their business needs.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generally have rigid purchase contracts and support terms.</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Organizations need a communications platform that delivers reliable, high-quality video that is easy to use, manage and deploy, provides an attractive return on investment, is scalable and easily integrates with physical spaces and applications.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by connecting them through frictionless video, voice, chat and content sharing. Our cloud-native platform enables face-to-face video experiences and connects thousands of users across disparate devices and locations in a single meeting. We strive to make Zoom meetings better than in-person meetings. Our customers typically see a dramatic increase in video communications usage after deployment. For example, prior to 2014, BAYADA Home Health Care was averaging just under 100 meetings a week using several applications for video conferencing prior to Zoom. Now with Zoom, it averaged 2,000 Zoom meetings a week in 2018.</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240" w:top="459"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provide video and voice communications, collaboration, chat, webinars and a developer platform across mobile devices, desktops, telephones and room systems. The following graphic depicts our cloud-based communications platform and some of its use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119380</wp:posOffset>
            </wp:positionV>
            <wp:extent cx="5137150" cy="3970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37150"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Benefits of the Zoom Platform</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benefits of our platform include:</w:t>
      </w:r>
    </w:p>
    <w:p>
      <w:pPr>
        <w:spacing w:after="0" w:line="131" w:lineRule="exact"/>
        <w:rPr>
          <w:sz w:val="20"/>
          <w:szCs w:val="20"/>
          <w:color w:val="auto"/>
        </w:rPr>
      </w:pPr>
    </w:p>
    <w:p>
      <w:pPr>
        <w:ind w:left="1060" w:right="180" w:hanging="424"/>
        <w:spacing w:after="0" w:line="30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Reliable, high-quality communications that enable productivity, connectedness and trust. </w:t>
      </w:r>
      <w:r>
        <w:rPr>
          <w:rFonts w:ascii="Arial" w:cs="Arial" w:eastAsia="Arial" w:hAnsi="Arial"/>
          <w:sz w:val="16"/>
          <w:szCs w:val="16"/>
          <w:color w:val="auto"/>
        </w:rPr>
        <w:t>Our platform delivers a high-quality,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experience across devices even with varying bandwidths and network performance. In fact, our platform can continue to deliver a productive meeting experience even with up to 40% packet loss. We believe our platform’s consistent performance creates significant value to organizations by providing a trusted communications solution that enables more productive interactions.</w:t>
      </w:r>
    </w:p>
    <w:p>
      <w:pPr>
        <w:spacing w:after="0" w:line="59" w:lineRule="exact"/>
        <w:rPr>
          <w:rFonts w:ascii="Arial" w:cs="Arial" w:eastAsia="Arial" w:hAnsi="Arial"/>
          <w:sz w:val="16"/>
          <w:szCs w:val="16"/>
          <w:color w:val="auto"/>
        </w:rPr>
      </w:pPr>
    </w:p>
    <w:p>
      <w:pPr>
        <w:ind w:left="1060" w:hanging="424"/>
        <w:spacing w:after="0" w:line="259"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We provide a consolidated, intuitive interface for video, voice, chat and content sharing that can be easily navigated even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time users. We help organizations consolidate disparate communications tools into a single unified platform, reducing the requirements for learning multiple systems. We enable calendar integration, easy synchronization with conference room equipment and feature parity across devices.</w:t>
      </w:r>
    </w:p>
    <w:p>
      <w:pPr>
        <w:spacing w:after="0" w:line="92"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deploy and manage. </w:t>
      </w:r>
      <w:r>
        <w:rPr>
          <w:rFonts w:ascii="Arial" w:cs="Arial" w:eastAsia="Arial" w:hAnsi="Arial"/>
          <w:sz w:val="18"/>
          <w:szCs w:val="18"/>
          <w:color w:val="auto"/>
        </w:rPr>
        <w:t>Our cloud-native platform is easy to deploy and manage by both IT administrators and business users,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integrating with existing infrastructure. Our platform</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24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60"/>
        <w:spacing w:after="0" w:line="277" w:lineRule="auto"/>
        <w:rPr>
          <w:sz w:val="20"/>
          <w:szCs w:val="20"/>
          <w:color w:val="auto"/>
        </w:rPr>
      </w:pPr>
      <w:r>
        <w:rPr>
          <w:rFonts w:ascii="Arial" w:cs="Arial" w:eastAsia="Arial" w:hAnsi="Arial"/>
          <w:sz w:val="18"/>
          <w:szCs w:val="18"/>
          <w:color w:val="auto"/>
        </w:rPr>
        <w:t>removes the need for the integration of disparate communications tools, product-specific knowledge and high-touch user support and troubleshooting. We provide a simple and robust management layer with reporting capability.</w:t>
      </w:r>
    </w:p>
    <w:p>
      <w:pPr>
        <w:spacing w:after="0" w:line="72" w:lineRule="exact"/>
        <w:rPr>
          <w:sz w:val="20"/>
          <w:szCs w:val="20"/>
          <w:color w:val="auto"/>
        </w:rPr>
      </w:pPr>
    </w:p>
    <w:p>
      <w:pPr>
        <w:jc w:val="both"/>
        <w:ind w:left="1060" w:right="380" w:hanging="424"/>
        <w:spacing w:after="0" w:line="277"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drives higher employee engagement and improved collaboration, resulting in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organizational productivity. Switching to our platform also reduces the costs associated with expensive on-premises infrastructure and continual maintenance. Moreover, the reliability of our platform’s free voice over internet protocol (VoIP) provides our customers with considerable cost savings when compared to the public switched telephone network. The quality of the user experience provided by our platform makes it a compelling alternative to in-person meetings.</w:t>
      </w:r>
    </w:p>
    <w:p>
      <w:pPr>
        <w:spacing w:after="0" w:line="77" w:lineRule="exact"/>
        <w:rPr>
          <w:rFonts w:ascii="Arial" w:cs="Arial" w:eastAsia="Arial" w:hAnsi="Arial"/>
          <w:sz w:val="17"/>
          <w:szCs w:val="17"/>
          <w:color w:val="auto"/>
        </w:rPr>
      </w:pPr>
    </w:p>
    <w:p>
      <w:pPr>
        <w:ind w:left="1060" w:right="40" w:hanging="424"/>
        <w:spacing w:after="0" w:line="312"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cloud-native platform was purpose-built to scale with organizations as they grow in size and complexity.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delivers the highest quality experience for organizations of all sizes and for meetings, whether with two or thousands of users. Organizations can confidently scale their deployment of our platform with the assurance that it will continue to serve their needs as their operations grow.</w:t>
      </w:r>
    </w:p>
    <w:p>
      <w:pPr>
        <w:spacing w:after="0" w:line="52" w:lineRule="exact"/>
        <w:rPr>
          <w:rFonts w:ascii="Arial" w:cs="Arial" w:eastAsia="Arial" w:hAnsi="Arial"/>
          <w:sz w:val="16"/>
          <w:szCs w:val="16"/>
          <w:color w:val="auto"/>
        </w:rPr>
      </w:pPr>
    </w:p>
    <w:p>
      <w:pPr>
        <w:ind w:left="1060" w:right="180" w:hanging="424"/>
        <w:spacing w:after="0" w:line="276"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Our robust integrations and partner ecosystem enable organizations to connect our platform seamlessly with both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physical workspaces and business applications that their employees already use, allowing them to choose the most natural medium for any part of an interaction. For example, our platform integrates with cloud software applications provided by companies such as Atlassian, Dropbox, Google, LinkedIn, Microsoft, salesforce.com, Slack and others. We also have an ecosystem of hardware partners through which we deploy our Zoom Rooms and Conference Room Connector offerings.</w:t>
      </w:r>
    </w:p>
    <w:p>
      <w:pPr>
        <w:spacing w:after="0" w:line="77" w:lineRule="exact"/>
        <w:rPr>
          <w:rFonts w:ascii="Arial" w:cs="Arial" w:eastAsia="Arial" w:hAnsi="Arial"/>
          <w:sz w:val="17"/>
          <w:szCs w:val="17"/>
          <w:color w:val="auto"/>
        </w:rPr>
      </w:pPr>
    </w:p>
    <w:p>
      <w:pPr>
        <w:ind w:left="1060" w:right="140" w:hanging="424"/>
        <w:spacing w:after="0" w:line="255"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terms. </w:t>
      </w:r>
      <w:r>
        <w:rPr>
          <w:rFonts w:ascii="Arial" w:cs="Arial" w:eastAsia="Arial" w:hAnsi="Arial"/>
          <w:sz w:val="18"/>
          <w:szCs w:val="18"/>
          <w:color w:val="auto"/>
        </w:rPr>
        <w:t>We allow organizations to purchase subscriptions to our communications platform that are right-sized for their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Customers can subscribe to our communications platform based on the number of hosts that they require on a month-to-month basis or purchase one- to multi-year subscriptions. In general, customers are not obligated to extend the term of their subscriptions beyond the contract term and can cancel their subscriptions at any time, although any amounts owed under the contract term remain due and payable. We are not obligated to provide refunds for services for which payment has already been made. The average term for our multi-year contracts is 2.4 years.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believe that we have a number of competitive advantages that will enable us to maintain and extend our leadership in communications. Our competitive strengths include:</w:t>
      </w:r>
    </w:p>
    <w:p>
      <w:pPr>
        <w:spacing w:after="0" w:line="76" w:lineRule="exact"/>
        <w:rPr>
          <w:sz w:val="20"/>
          <w:szCs w:val="20"/>
          <w:color w:val="auto"/>
        </w:rPr>
      </w:pPr>
    </w:p>
    <w:p>
      <w:pPr>
        <w:ind w:left="1060" w:hanging="424"/>
        <w:spacing w:after="0" w:line="279"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Video-first cloud architecture. </w:t>
      </w:r>
      <w:r>
        <w:rPr>
          <w:rFonts w:ascii="Arial" w:cs="Arial" w:eastAsia="Arial" w:hAnsi="Arial"/>
          <w:sz w:val="17"/>
          <w:szCs w:val="17"/>
          <w:color w:val="auto"/>
        </w:rPr>
        <w:t>We built our platform from the ground up to be cloud-native and video-first, unlike other approaches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attempted to add video to an aging, pre-existing conference call or chat tool. We developed our purpose-built, video-first architecture to achieve the objective of providing our customers with a high-quality experience. Our unique architecture was built by our talented team, led by a founding group of engineers who have extensive expertise in real-time communications technology.</w:t>
      </w:r>
    </w:p>
    <w:p>
      <w:pPr>
        <w:spacing w:after="0" w:line="76" w:lineRule="exact"/>
        <w:rPr>
          <w:rFonts w:ascii="Arial" w:cs="Arial" w:eastAsia="Arial" w:hAnsi="Arial"/>
          <w:sz w:val="17"/>
          <w:szCs w:val="17"/>
          <w:color w:val="auto"/>
        </w:rPr>
      </w:pPr>
    </w:p>
    <w:p>
      <w:pPr>
        <w:ind w:left="1060" w:right="20" w:hanging="424"/>
        <w:spacing w:after="0" w:line="276"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A recognized market leader</w:t>
      </w:r>
      <w:r>
        <w:rPr>
          <w:rFonts w:ascii="Arial" w:cs="Arial" w:eastAsia="Arial" w:hAnsi="Arial"/>
          <w:sz w:val="17"/>
          <w:szCs w:val="17"/>
          <w:color w:val="auto"/>
        </w:rPr>
        <w:t>. We have been recognized by industry analysts as a market leader. For the third consecutive year, Gartner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named Zoom a Leader in its Magic Quadrant for Meeting Solutions (previously named Magic Quadrant for Web Conferencing). Gartner recognized Zoom in the Leaders quadrant based on our “ability to execute” and “completeness of vision.” G2 Crowd recognized Zoom as the leading pacesetter in the industry in its 2018 Momentum Grid of Video Conferencing. Zoom is also Frost &amp; Sullivan’s 2019 Company of the Year Award recipient for the Global Video Conferencing Industry.</w:t>
      </w:r>
    </w:p>
    <w:p>
      <w:pPr>
        <w:spacing w:after="0" w:line="77" w:lineRule="exact"/>
        <w:rPr>
          <w:rFonts w:ascii="Arial" w:cs="Arial" w:eastAsia="Arial" w:hAnsi="Arial"/>
          <w:sz w:val="17"/>
          <w:szCs w:val="17"/>
          <w:color w:val="auto"/>
        </w:rPr>
      </w:pPr>
    </w:p>
    <w:p>
      <w:pPr>
        <w:jc w:val="both"/>
        <w:ind w:left="1060" w:right="20" w:hanging="424"/>
        <w:spacing w:after="0" w:line="286"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demand driven by individual users. </w:t>
      </w:r>
      <w:r>
        <w:rPr>
          <w:rFonts w:ascii="Arial" w:cs="Arial" w:eastAsia="Arial" w:hAnsi="Arial"/>
          <w:sz w:val="17"/>
          <w:szCs w:val="17"/>
          <w:color w:val="auto"/>
        </w:rPr>
        <w:t>Our rapid adoption is driven by a virtuous cycle of positive user experiences. Individuals typically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 using our platform when a colleague or associate invites them to a Zoom meeting. We allow anyone to join or host a meeting for free. When attendees experience our platform and realize the benefits, they often become paying customers to unlock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342" w:lineRule="auto"/>
        <w:rPr>
          <w:sz w:val="20"/>
          <w:szCs w:val="20"/>
          <w:color w:val="auto"/>
        </w:rPr>
      </w:pPr>
      <w:r>
        <w:rPr>
          <w:rFonts w:ascii="Arial" w:cs="Arial" w:eastAsia="Arial" w:hAnsi="Arial"/>
          <w:sz w:val="16"/>
          <w:szCs w:val="16"/>
          <w:color w:val="auto"/>
        </w:rPr>
        <w:t>additional functionality. This user adoption model facilitates user growth and helps drive penetration within large organizations. The success of our user adoption model is reflected in our net dollar expansion rate of over 130% for the trailing 12 months ended January 31, 2019.</w:t>
      </w:r>
    </w:p>
    <w:p>
      <w:pPr>
        <w:spacing w:after="0" w:line="29" w:lineRule="exact"/>
        <w:rPr>
          <w:sz w:val="20"/>
          <w:szCs w:val="20"/>
          <w:color w:val="auto"/>
        </w:rPr>
      </w:pPr>
    </w:p>
    <w:p>
      <w:pPr>
        <w:ind w:left="1060" w:hanging="424"/>
        <w:spacing w:after="0" w:line="259"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base of happy customers. </w:t>
      </w:r>
      <w:r>
        <w:rPr>
          <w:rFonts w:ascii="Arial" w:cs="Arial" w:eastAsia="Arial" w:hAnsi="Arial"/>
          <w:sz w:val="18"/>
          <w:szCs w:val="18"/>
          <w:color w:val="auto"/>
        </w:rPr>
        <w:t>We believe that making and keeping users happy is critical to growing our business. We use NPS data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numerical expression of customer happiness. We believe that our customer NPS, which averaged over 70 in 2018, demonstrates that our high-quality, easy-to-use platform is making customers happy. We believe that our happy customers drive viral demand with potential new customers and lead existing customers to expand the use of our platform.</w:t>
      </w:r>
    </w:p>
    <w:p>
      <w:pPr>
        <w:spacing w:after="0" w:line="92" w:lineRule="exact"/>
        <w:rPr>
          <w:rFonts w:ascii="Arial" w:cs="Arial" w:eastAsia="Arial" w:hAnsi="Arial"/>
          <w:sz w:val="18"/>
          <w:szCs w:val="18"/>
          <w:color w:val="auto"/>
        </w:rPr>
      </w:pPr>
    </w:p>
    <w:p>
      <w:pPr>
        <w:ind w:left="1060" w:right="80" w:hanging="424"/>
        <w:spacing w:after="0" w:line="255"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Multipronged go-to-market strategy. </w:t>
      </w:r>
      <w:r>
        <w:rPr>
          <w:rFonts w:ascii="Arial" w:cs="Arial" w:eastAsia="Arial" w:hAnsi="Arial"/>
          <w:sz w:val="18"/>
          <w:szCs w:val="18"/>
          <w:color w:val="auto"/>
        </w:rPr>
        <w:t>We have a multipronged, go-to-market strategy that integrates the viral enthusiasm for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optimal routes-to-market that match the size of the customer opportunity. Our direct sales force and strategic partners sell to customers of all sizes, and we leverage our online sales channel for smaller customers. Our platform and sales model allow us to turn a single non-paying user into a full enterprise deployment. Many of our customers started with only a single user on the free version. For the fiscal year ended January 31, 2019, 55% of our 344 customers that contributed more than $100,000 of revenue started with at least one free host prior to subscribing. These 344 customers contributed 30% of revenue in the fiscal year ended January 31, 2019, underscoring the power of our model.</w:t>
      </w:r>
    </w:p>
    <w:p>
      <w:pPr>
        <w:spacing w:after="0" w:line="94" w:lineRule="exact"/>
        <w:rPr>
          <w:rFonts w:ascii="Arial" w:cs="Arial" w:eastAsia="Arial" w:hAnsi="Arial"/>
          <w:sz w:val="18"/>
          <w:szCs w:val="18"/>
          <w:color w:val="auto"/>
        </w:rPr>
      </w:pPr>
    </w:p>
    <w:p>
      <w:pPr>
        <w:ind w:left="1060" w:right="120" w:hanging="424"/>
        <w:spacing w:after="0" w:line="255"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Robust customer support and success function. </w:t>
      </w:r>
      <w:r>
        <w:rPr>
          <w:rFonts w:ascii="Arial" w:cs="Arial" w:eastAsia="Arial" w:hAnsi="Arial"/>
          <w:sz w:val="18"/>
          <w:szCs w:val="18"/>
          <w:color w:val="auto"/>
        </w:rPr>
        <w:t>We offer 24/7/365 support through live chat, phone and video for paying customers. Free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have the ability to chat or open tickets with our support team. Additionally, we offer a variety of support options on our website, including a comprehensive knowledge base, to all customers. Our customer success team provides customized onboarding, training, branding, implementation and development solutions for our larger customers. Additionally, we regularly use customer feedback to drive further innovation on our platform. For the 90-day period ended January 31, 2019, our customer support team had a customer satisfaction score (CSAT) of over 90%.</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Culture of Happiness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31" w:lineRule="exact"/>
        <w:rPr>
          <w:sz w:val="20"/>
          <w:szCs w:val="20"/>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Mission</w:t>
      </w:r>
      <w:r>
        <w:rPr>
          <w:rFonts w:ascii="Arial" w:cs="Arial" w:eastAsia="Arial" w:hAnsi="Arial"/>
          <w:sz w:val="18"/>
          <w:szCs w:val="18"/>
          <w:color w:val="auto"/>
        </w:rPr>
        <w:t>. Our mission is to make video communications frictionless.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 </w:t>
      </w:r>
      <w:r>
        <w:rPr>
          <w:rFonts w:ascii="Arial" w:cs="Arial" w:eastAsia="Arial" w:hAnsi="Arial"/>
          <w:sz w:val="18"/>
          <w:szCs w:val="18"/>
          <w:color w:val="auto"/>
        </w:rPr>
        <w:t>Our vision is to empower people to accomplish more through video communications.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Values</w:t>
      </w:r>
      <w:r>
        <w:rPr>
          <w:rFonts w:ascii="Arial" w:cs="Arial" w:eastAsia="Arial" w:hAnsi="Arial"/>
          <w:sz w:val="18"/>
          <w:szCs w:val="18"/>
          <w:color w:val="auto"/>
        </w:rPr>
        <w:t>. We care for our community, our customers, our company, our teammates and ourselves.</w:t>
      </w:r>
    </w:p>
    <w:p>
      <w:pPr>
        <w:spacing w:after="0" w:line="22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information workers could benefit from our platform’s ability to connect people through frictionless video, voice, chat and content sharing. According to a Forrester Consulting report commissioned by Morgan Stanley, there were 1.25 billion information workers globally in 2018.</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131" w:lineRule="exact"/>
        <w:rPr>
          <w:sz w:val="20"/>
          <w:szCs w:val="20"/>
          <w:color w:val="auto"/>
        </w:rPr>
      </w:pPr>
    </w:p>
    <w:p>
      <w:pPr>
        <w:ind w:left="1060" w:right="20" w:hanging="424"/>
        <w:spacing w:after="0" w:line="286"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Keep our existing customers happy. </w:t>
      </w:r>
      <w:r>
        <w:rPr>
          <w:rFonts w:ascii="Arial" w:cs="Arial" w:eastAsia="Arial" w:hAnsi="Arial"/>
          <w:sz w:val="17"/>
          <w:szCs w:val="17"/>
          <w:color w:val="auto"/>
        </w:rPr>
        <w:t>We provide happiness to our customers by giving them an experience that delights them. We respond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needs with action to drive positive user experiences. We believe these practices result in our high NPS and will continue to generate referrals from our existing customers, providing meaningful viral adoption for the foreseeable future.</w:t>
      </w:r>
    </w:p>
    <w:p>
      <w:pPr>
        <w:spacing w:after="0" w:line="70" w:lineRule="exact"/>
        <w:rPr>
          <w:rFonts w:ascii="Arial" w:cs="Arial" w:eastAsia="Arial" w:hAnsi="Arial"/>
          <w:sz w:val="17"/>
          <w:szCs w:val="17"/>
          <w:color w:val="auto"/>
        </w:rPr>
      </w:pPr>
    </w:p>
    <w:p>
      <w:pPr>
        <w:ind w:left="1060" w:right="80" w:hanging="424"/>
        <w:spacing w:after="0" w:line="276"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new customer acquisition. </w:t>
      </w:r>
      <w:r>
        <w:rPr>
          <w:rFonts w:ascii="Arial" w:cs="Arial" w:eastAsia="Arial" w:hAnsi="Arial"/>
          <w:sz w:val="17"/>
          <w:szCs w:val="17"/>
          <w:color w:val="auto"/>
        </w:rPr>
        <w:t>Our platform is designed to make it easy to host meetings. By attracting free hosts to use our platform,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77" w:lineRule="exact"/>
        <w:rPr>
          <w:rFonts w:ascii="Arial" w:cs="Arial" w:eastAsia="Arial" w:hAnsi="Arial"/>
          <w:sz w:val="17"/>
          <w:szCs w:val="17"/>
          <w:color w:val="auto"/>
        </w:rPr>
      </w:pPr>
    </w:p>
    <w:p>
      <w:pPr>
        <w:ind w:left="1060" w:right="160" w:hanging="424"/>
        <w:spacing w:after="0" w:line="264"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existing customers. </w:t>
      </w:r>
      <w:r>
        <w:rPr>
          <w:rFonts w:ascii="Arial" w:cs="Arial" w:eastAsia="Arial" w:hAnsi="Arial"/>
          <w:sz w:val="18"/>
          <w:szCs w:val="18"/>
          <w:color w:val="auto"/>
        </w:rPr>
        <w:t>As organizations experience our video platform and become familiar with its benefits, more teams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departments within these organizations adopt Zoom. Our platform may begin in a line of business and then organically expand across departments. This “land and expand” model has led to some of our largest deployments.</w:t>
      </w:r>
    </w:p>
    <w:p>
      <w:pPr>
        <w:spacing w:after="0" w:line="86" w:lineRule="exact"/>
        <w:rPr>
          <w:rFonts w:ascii="Arial" w:cs="Arial" w:eastAsia="Arial" w:hAnsi="Arial"/>
          <w:sz w:val="18"/>
          <w:szCs w:val="18"/>
          <w:color w:val="auto"/>
        </w:rPr>
      </w:pPr>
    </w:p>
    <w:p>
      <w:pPr>
        <w:ind w:left="1060" w:right="80" w:hanging="424"/>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Innovate our platform continuously</w:t>
      </w:r>
      <w:r>
        <w:rPr>
          <w:rFonts w:ascii="Arial" w:cs="Arial" w:eastAsia="Arial" w:hAnsi="Arial"/>
          <w:sz w:val="18"/>
          <w:szCs w:val="18"/>
          <w:color w:val="auto"/>
        </w:rPr>
        <w:t>. Our engineers aim to stay on the cutting edge of video communication and collaboration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release on average over 200 new and enhanced features a year. We strive to deliver the best experience to our users by dedicating approximately 20% of engineering capacity to developing on-demand, customer-requested features that would be valuable across our customer base.</w:t>
      </w:r>
    </w:p>
    <w:p>
      <w:pPr>
        <w:spacing w:after="0" w:line="92" w:lineRule="exact"/>
        <w:rPr>
          <w:rFonts w:ascii="Arial" w:cs="Arial" w:eastAsia="Arial" w:hAnsi="Arial"/>
          <w:sz w:val="18"/>
          <w:szCs w:val="18"/>
          <w:color w:val="auto"/>
        </w:rPr>
      </w:pPr>
    </w:p>
    <w:p>
      <w:pPr>
        <w:ind w:left="1060" w:right="100" w:hanging="424"/>
        <w:spacing w:after="0" w:line="312"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Accelerate international expansion. </w:t>
      </w:r>
      <w:r>
        <w:rPr>
          <w:rFonts w:ascii="Arial" w:cs="Arial" w:eastAsia="Arial" w:hAnsi="Arial"/>
          <w:sz w:val="16"/>
          <w:szCs w:val="16"/>
          <w:color w:val="auto"/>
        </w:rPr>
        <w:t>With users, offices and data centers strategically located around the world, we are poised to reach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52" w:lineRule="exact"/>
        <w:rPr>
          <w:rFonts w:ascii="Arial" w:cs="Arial" w:eastAsia="Arial" w:hAnsi="Arial"/>
          <w:sz w:val="16"/>
          <w:szCs w:val="16"/>
          <w:color w:val="auto"/>
        </w:rPr>
      </w:pPr>
    </w:p>
    <w:p>
      <w:pPr>
        <w:ind w:left="1060" w:hanging="424"/>
        <w:spacing w:after="0" w:line="255"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partnership ecosystem and continue to expand our platform. </w:t>
      </w:r>
      <w:r>
        <w:rPr>
          <w:rFonts w:ascii="Arial" w:cs="Arial" w:eastAsia="Arial" w:hAnsi="Arial"/>
          <w:sz w:val="18"/>
          <w:szCs w:val="18"/>
          <w:color w:val="auto"/>
        </w:rPr>
        <w:t>Our platform integrates easily with other systems and tools.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Our App Marketplace has attracted over 1,000 third-party developers, which we believe will extend the value and adoption of Zoom. We intend to continue to grow our partnership ecosystem to drive ubiquity and a better user experience.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connecting them through frictionless video, voice, chat and content sharing. Our products include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Zoom Meetings (including Zoom Chat), Zoom Rooms, Zoom Conference Room Connector, Zoom Phone, Zoom Video Webinars, Zoom for Developers and Zoom App Marketplace. The following graphic depicts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245745</wp:posOffset>
            </wp:positionV>
            <wp:extent cx="2615565" cy="26155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1556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Meetings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Zoom Meetings is the cornerstone of our platform that ties all of our other products and features together. Zoom Meetings provide HD video, voice, chat and content sharing across mobile devices, desktops, laptops, telephones and conference room systems. Our architecture can support tens of thousands of video participants in a single meeting. Conversations can be one-to-one, one-to-many or many-to-many. Zoom Meetings feature MP4/M4A cloud/local recording with transcripts, video breakout rooms, screen sharing with annotation and other powerful business applications to help teams get more done together. Zoom Meetings integrate with tools such as Atlassian, Dropbox, Google, LinkedIn, Microsoft, Salesforce and Slack. Our meetings are a flexible tool for on-the-go employees who rely on their mobile device or tablet throughout their business day as we are the only service to have mobile start, join, scheduling and screen sharing.</w:t>
      </w:r>
    </w:p>
    <w:p>
      <w:pPr>
        <w:spacing w:after="0" w:line="17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i w:val="1"/>
          <w:iCs w:val="1"/>
          <w:color w:val="auto"/>
        </w:rPr>
        <w:t>Zoom Chat</w:t>
      </w:r>
      <w:r>
        <w:rPr>
          <w:rFonts w:ascii="Arial" w:cs="Arial" w:eastAsia="Arial" w:hAnsi="Arial"/>
          <w:sz w:val="17"/>
          <w:szCs w:val="17"/>
          <w:color w:val="auto"/>
        </w:rPr>
        <w:t>, a feature of our Zoom Meetings platform, allows users to send texts, images, audio files and content instantly across desktop, laptop,</w:t>
      </w:r>
      <w:r>
        <w:rPr>
          <w:rFonts w:ascii="Arial" w:cs="Arial" w:eastAsia="Arial" w:hAnsi="Arial"/>
          <w:sz w:val="17"/>
          <w:szCs w:val="17"/>
          <w:i w:val="1"/>
          <w:iCs w:val="1"/>
          <w:color w:val="auto"/>
        </w:rPr>
        <w:t xml:space="preserve"> </w:t>
      </w:r>
      <w:r>
        <w:rPr>
          <w:rFonts w:ascii="Arial" w:cs="Arial" w:eastAsia="Arial" w:hAnsi="Arial"/>
          <w:sz w:val="17"/>
          <w:szCs w:val="17"/>
          <w:color w:val="auto"/>
        </w:rPr>
        <w:t>tablet and mobile devices. Organizations use messaging to collaborate in groups or 1-1 channels, share files and information and stay connected. Chat allows easy invitation to people outside a user’s organization, and users can easily switch from a chat to a video meeting during a conversation. Zoom Chat can also store content, offering discoverability to users who want to review their conversations or shared files.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Rooms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Zoom Rooms is our software-based conference room system, which enables users to have frictionless Zoom Meetings in their physical meeting spaces. Running on third-party off-the-shelf hardware, Zoom Rooms is a cost-effective way to outfit meeting spaces at scale with video and voice conferencing, wireless content sharing and calendar integrations. This adaptable platform brings video to conference, huddle and training rooms, as well as executive offices, clinics and classrooms. The use of affordable, off-the-shelf hardware means that companies can outfit many more rooms with video instead of a few key executive conference rooms.</w:t>
      </w:r>
    </w:p>
    <w:p>
      <w:pPr>
        <w:spacing w:after="0" w:line="18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i w:val="1"/>
          <w:iCs w:val="1"/>
          <w:color w:val="auto"/>
        </w:rPr>
        <w:t>Zoom Rooms Scheduling Display</w:t>
      </w:r>
      <w:r>
        <w:rPr>
          <w:rFonts w:ascii="Arial" w:cs="Arial" w:eastAsia="Arial" w:hAnsi="Arial"/>
          <w:sz w:val="18"/>
          <w:szCs w:val="18"/>
          <w:color w:val="auto"/>
        </w:rPr>
        <w:t>, running on an iOS or Android tablet outside the conferencing space, allows users to see upcoming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check in and schedule spontaneous meetings.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i w:val="1"/>
          <w:iCs w:val="1"/>
          <w:color w:val="auto"/>
        </w:rPr>
        <w:t>Zoom Rooms Digital Signage</w:t>
      </w:r>
      <w:r>
        <w:rPr>
          <w:rFonts w:ascii="Arial" w:cs="Arial" w:eastAsia="Arial" w:hAnsi="Arial"/>
          <w:sz w:val="18"/>
          <w:szCs w:val="18"/>
          <w:color w:val="auto"/>
        </w:rPr>
        <w:t>, running on commodity monitors, enables organizations to display content in common spaces and meeting spaces</w:t>
      </w:r>
      <w:r>
        <w:rPr>
          <w:rFonts w:ascii="Arial" w:cs="Arial" w:eastAsia="Arial" w:hAnsi="Arial"/>
          <w:sz w:val="18"/>
          <w:szCs w:val="18"/>
          <w:i w:val="1"/>
          <w:iCs w:val="1"/>
          <w:color w:val="auto"/>
        </w:rPr>
        <w:t xml:space="preserve"> </w:t>
      </w:r>
      <w:r>
        <w:rPr>
          <w:rFonts w:ascii="Arial" w:cs="Arial" w:eastAsia="Arial" w:hAnsi="Arial"/>
          <w:sz w:val="18"/>
          <w:szCs w:val="18"/>
          <w:color w:val="auto"/>
        </w:rPr>
        <w:t>for corporate communications, internal marketing and branding.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Conference Room Connector</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Zoom Conference Room Connector is a gateway for H.323 and SIP devices to join Zoom meetings. For organizations that use H.323 or SIP conference room systems from providers such as Polycom and Cisco, Zoom’s Conference Room Connector can take these traditional hardware video conferencing systems to the cloud, allowing users to leverage their existing investments while taking advantage of our platform. This service may be used permanently, or as a bridge while an organization transitions from its legacy hardware-based conference rooms to software-based Zoom Rooms.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Phone</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Zoom Phone is a cloud phone system available as an add-on that enhances our communications platform. We support inbound and outbound calling through the public switched telephone network and integrated traditional telephony features to enable customers to replace their existing private branch exchange (PBX) solution and consolidate all of their business communications and collaboration requirements onto Zoom.</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Video Webinars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Zoom Video Webinars allows users to conduct large-scale online events such as town hall meetings, workshops and marketing presentations. Up to 100 panelists with full video, voice, chat and content sharing are able to communicate to over 10,000 view-only attendees. Zoom Video Webinars includes features such as Q&amp;A, reporting, invitations and CRM and marketing automation software integrations. It also easily integrates with Facebook Live and YouTube, providing access to large bases of viewers.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for Developers and Zoom App Marketplace</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Zoom for Developers allows developers to integrate our video, voice, chat and content sharing into other applications. On this solution, Zoom, third-party developers and partners build applications that integrate our platform with other cloud services. Our customers can also develop private applications that integrate Zoom into their systems. Our rich toolbox of extensible APIs, cross-platform SDKs and MobileRTC powered an average of more than 140 million API engagements per month for the 12 months ended January 31, 2019.</w:t>
      </w:r>
    </w:p>
    <w:p>
      <w:pPr>
        <w:spacing w:after="0" w:line="17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Our App Marketplace features apps and bots with services such as HubSpot, Microsoft Teams and YouTube.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 and Infrastructure</w:t>
      </w:r>
    </w:p>
    <w:p>
      <w:pPr>
        <w:spacing w:after="0" w:line="121" w:lineRule="exact"/>
        <w:rPr>
          <w:sz w:val="20"/>
          <w:szCs w:val="20"/>
          <w:color w:val="auto"/>
        </w:rPr>
      </w:pPr>
    </w:p>
    <w:p>
      <w:pPr>
        <w:jc w:val="both"/>
        <w:ind w:left="200" w:right="120" w:firstLine="441"/>
        <w:spacing w:after="0" w:line="276" w:lineRule="auto"/>
        <w:rPr>
          <w:sz w:val="20"/>
          <w:szCs w:val="20"/>
          <w:color w:val="auto"/>
        </w:rPr>
      </w:pPr>
      <w:r>
        <w:rPr>
          <w:rFonts w:ascii="Arial" w:cs="Arial" w:eastAsia="Arial" w:hAnsi="Arial"/>
          <w:sz w:val="17"/>
          <w:szCs w:val="17"/>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17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(MMR) that operates on commodity hardware and a globally distributed cloud infrastructure to determine the optimal data centers to host a meeting and an optimal set of paths to connect the participants.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technology and infrastructure have the following key strengths:</w:t>
      </w:r>
    </w:p>
    <w:p>
      <w:pPr>
        <w:spacing w:after="0" w:line="127" w:lineRule="exact"/>
        <w:rPr>
          <w:sz w:val="20"/>
          <w:szCs w:val="20"/>
          <w:color w:val="auto"/>
        </w:rPr>
      </w:pPr>
    </w:p>
    <w:p>
      <w:pPr>
        <w:ind w:left="1060" w:hanging="424"/>
        <w:spacing w:after="0" w:line="314"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Architectural separation of content processing from stream routing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Client-side processing for encoding and decoding, our MMR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routing and dynamic optimization of stream traffic enables us to provide reliable high-quality communications. This architecture means each MMR can support approximately 1,100 more meeting participants than a standard MCU, which generally supports up to 80 participants.</w:t>
      </w:r>
    </w:p>
    <w:p>
      <w:pPr>
        <w:spacing w:after="0" w:line="47" w:lineRule="exact"/>
        <w:rPr>
          <w:rFonts w:ascii="Arial" w:cs="Arial" w:eastAsia="Arial" w:hAnsi="Arial"/>
          <w:sz w:val="16"/>
          <w:szCs w:val="16"/>
          <w:color w:val="auto"/>
        </w:rPr>
      </w:pPr>
    </w:p>
    <w:p>
      <w:pPr>
        <w:ind w:left="1060" w:right="180" w:hanging="424"/>
        <w:spacing w:after="0" w:line="298"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Distributed cloud-native infrastructure from the start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day one, we have invested in a distributed architecture and load balancing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ensure that end users always get the best possible performance and quality. Our geographically distributed architecture enables users to connect to the data center closest to their location. Our distributed architecture also enables us to provide a more scalable service. Our microservices architecture allows us to access resources automatically that enable us to seamlessly grow our capacity. As a result, from a technology perspective, we provide our users with a reliable video experience from two to thousands of video participants.</w:t>
      </w:r>
    </w:p>
    <w:p>
      <w:pPr>
        <w:spacing w:after="0" w:line="59" w:lineRule="exact"/>
        <w:rPr>
          <w:rFonts w:ascii="Arial" w:cs="Arial" w:eastAsia="Arial" w:hAnsi="Arial"/>
          <w:sz w:val="16"/>
          <w:szCs w:val="16"/>
          <w:color w:val="auto"/>
        </w:rPr>
      </w:pPr>
    </w:p>
    <w:p>
      <w:pPr>
        <w:ind w:left="1060" w:right="220" w:hanging="424"/>
        <w:spacing w:after="0" w:line="314"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Proactive quality of service application layer at client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optimization technology is based on proprietary algorithms that detect packet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 latency, jitter, CPU utilization and bitrate/bandwidth to optimize the video, audio and content sharing experience. Depending on the type of device, our algorithm prioritizes the factors most important for the particular device, resulting in the best possible user experience.</w:t>
      </w:r>
    </w:p>
    <w:p>
      <w:pPr>
        <w:spacing w:after="0" w:line="47" w:lineRule="exact"/>
        <w:rPr>
          <w:rFonts w:ascii="Arial" w:cs="Arial" w:eastAsia="Arial" w:hAnsi="Arial"/>
          <w:sz w:val="16"/>
          <w:szCs w:val="16"/>
          <w:color w:val="auto"/>
        </w:rPr>
      </w:pPr>
    </w:p>
    <w:p>
      <w:pPr>
        <w:ind w:left="1060" w:right="20" w:hanging="424"/>
        <w:spacing w:after="0" w:line="261"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and disaster recovery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robust security capabilities, including end-to-end encryption, secure login, administrative controls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role-based access controls. Our platform is SOC2 Type II and TRUSTArc compliant and enables customer HIPAA compliance. We have resilient disaster recovery capabilities, including active-active disaster recovery for real-time processes to help ensure that backup active servers are available.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cloud-native infrastructure offers the following key strengths:</w:t>
      </w:r>
    </w:p>
    <w:p>
      <w:pPr>
        <w:spacing w:after="0" w:line="131" w:lineRule="exact"/>
        <w:rPr>
          <w:sz w:val="20"/>
          <w:szCs w:val="20"/>
          <w:color w:val="auto"/>
        </w:rPr>
      </w:pPr>
    </w:p>
    <w:p>
      <w:pPr>
        <w:ind w:left="1060" w:right="100" w:hanging="424"/>
        <w:spacing w:after="0" w:line="26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Private cloud for real-time activities. </w:t>
      </w:r>
      <w:r>
        <w:rPr>
          <w:rFonts w:ascii="Arial" w:cs="Arial" w:eastAsia="Arial" w:hAnsi="Arial"/>
          <w:sz w:val="18"/>
          <w:szCs w:val="18"/>
          <w:color w:val="auto"/>
        </w:rPr>
        <w:t>We host real-time video and voice using 13 co-located data centers on our own servers around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 We have built a network of private links so that each data center connects to multiple others. This structure creates redundancies and ensures reliability and performance.</w:t>
      </w:r>
    </w:p>
    <w:p>
      <w:pPr>
        <w:spacing w:after="0" w:line="86"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Optimized public cloud usage. </w:t>
      </w:r>
      <w:r>
        <w:rPr>
          <w:rFonts w:ascii="Arial" w:cs="Arial" w:eastAsia="Arial" w:hAnsi="Arial"/>
          <w:sz w:val="18"/>
          <w:szCs w:val="18"/>
          <w:color w:val="auto"/>
        </w:rPr>
        <w:t>For maximum efficiency, we deploy public cloud providers (Amazon Web Services and Microsoft Azure)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host our web applications and messaging service that do not require real time usage.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have customers of all sizes, from individuals to global Fortune 50 organizations. Our current customer base spans numerous industry categories, including education, entertainment/media, enterprise infrastructure, finance, healthcare, manufacturing, non-profit/not for profit and social impact, retail/consumer products and software/internet. No individual customer represented more than 5% of our revenue in the fiscal year ended January 31, 2019. A representative list of our largest customers is set forth below by industry:</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Education:</w:t>
            </w:r>
          </w:p>
        </w:tc>
        <w:tc>
          <w:tcPr>
            <w:tcW w:w="3500" w:type="dxa"/>
            <w:vAlign w:val="bottom"/>
          </w:tcPr>
          <w:p>
            <w:pPr>
              <w:ind w:left="320"/>
              <w:spacing w:after="0"/>
              <w:rPr>
                <w:sz w:val="20"/>
                <w:szCs w:val="20"/>
                <w:color w:val="auto"/>
              </w:rPr>
            </w:pPr>
            <w:r>
              <w:rPr>
                <w:rFonts w:ascii="Arial" w:cs="Arial" w:eastAsia="Arial" w:hAnsi="Arial"/>
                <w:sz w:val="18"/>
                <w:szCs w:val="18"/>
                <w:b w:val="1"/>
                <w:bCs w:val="1"/>
                <w:color w:val="auto"/>
              </w:rPr>
              <w:t>Entertainment/Media:</w:t>
            </w:r>
          </w:p>
        </w:tc>
        <w:tc>
          <w:tcPr>
            <w:tcW w:w="3460" w:type="dxa"/>
            <w:vAlign w:val="bottom"/>
          </w:tcPr>
          <w:p>
            <w:pPr>
              <w:ind w:left="440"/>
              <w:spacing w:after="0"/>
              <w:rPr>
                <w:sz w:val="20"/>
                <w:szCs w:val="20"/>
                <w:color w:val="auto"/>
              </w:rPr>
            </w:pPr>
            <w:r>
              <w:rPr>
                <w:rFonts w:ascii="Arial" w:cs="Arial" w:eastAsia="Arial" w:hAnsi="Arial"/>
                <w:sz w:val="18"/>
                <w:szCs w:val="18"/>
                <w:b w:val="1"/>
                <w:bCs w:val="1"/>
                <w:color w:val="auto"/>
              </w:rPr>
              <w:t>Enterprise Infrastructure:</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Indiana University</w:t>
            </w:r>
          </w:p>
        </w:tc>
        <w:tc>
          <w:tcPr>
            <w:tcW w:w="3500" w:type="dxa"/>
            <w:vAlign w:val="bottom"/>
          </w:tcPr>
          <w:p>
            <w:pPr>
              <w:ind w:left="320"/>
              <w:spacing w:after="0"/>
              <w:rPr>
                <w:sz w:val="20"/>
                <w:szCs w:val="20"/>
                <w:color w:val="auto"/>
              </w:rPr>
            </w:pPr>
            <w:r>
              <w:rPr>
                <w:rFonts w:ascii="Arial" w:cs="Arial" w:eastAsia="Arial" w:hAnsi="Arial"/>
                <w:sz w:val="18"/>
                <w:szCs w:val="18"/>
                <w:color w:val="auto"/>
              </w:rPr>
              <w:t>Caesars Enterprise Services, LLC</w:t>
            </w:r>
          </w:p>
        </w:tc>
        <w:tc>
          <w:tcPr>
            <w:tcW w:w="3460" w:type="dxa"/>
            <w:vAlign w:val="bottom"/>
          </w:tcPr>
          <w:p>
            <w:pPr>
              <w:ind w:left="440"/>
              <w:spacing w:after="0"/>
              <w:rPr>
                <w:sz w:val="20"/>
                <w:szCs w:val="20"/>
                <w:color w:val="auto"/>
              </w:rPr>
            </w:pPr>
            <w:r>
              <w:rPr>
                <w:rFonts w:ascii="Arial" w:cs="Arial" w:eastAsia="Arial" w:hAnsi="Arial"/>
                <w:sz w:val="18"/>
                <w:szCs w:val="18"/>
                <w:color w:val="auto"/>
              </w:rPr>
              <w:t>Dell USA L.P.</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Oklahoma State Regents for Higher Education</w:t>
            </w:r>
          </w:p>
        </w:tc>
        <w:tc>
          <w:tcPr>
            <w:tcW w:w="3500" w:type="dxa"/>
            <w:vAlign w:val="bottom"/>
          </w:tcPr>
          <w:p>
            <w:pPr>
              <w:ind w:left="320"/>
              <w:spacing w:after="0"/>
              <w:rPr>
                <w:sz w:val="20"/>
                <w:szCs w:val="20"/>
                <w:color w:val="auto"/>
              </w:rPr>
            </w:pPr>
            <w:r>
              <w:rPr>
                <w:rFonts w:ascii="Arial" w:cs="Arial" w:eastAsia="Arial" w:hAnsi="Arial"/>
                <w:sz w:val="18"/>
                <w:szCs w:val="18"/>
                <w:color w:val="auto"/>
              </w:rPr>
              <w:t>Condé Nast</w:t>
            </w:r>
          </w:p>
        </w:tc>
        <w:tc>
          <w:tcPr>
            <w:tcW w:w="3460" w:type="dxa"/>
            <w:vAlign w:val="bottom"/>
          </w:tcPr>
          <w:p>
            <w:pPr>
              <w:ind w:left="440"/>
              <w:spacing w:after="0"/>
              <w:rPr>
                <w:sz w:val="20"/>
                <w:szCs w:val="20"/>
                <w:color w:val="auto"/>
              </w:rPr>
            </w:pPr>
            <w:r>
              <w:rPr>
                <w:rFonts w:ascii="Arial" w:cs="Arial" w:eastAsia="Arial" w:hAnsi="Arial"/>
                <w:sz w:val="18"/>
                <w:szCs w:val="18"/>
                <w:color w:val="auto"/>
              </w:rPr>
              <w:t>F5 Networks,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The Pennsylvania State University</w:t>
            </w:r>
          </w:p>
        </w:tc>
        <w:tc>
          <w:tcPr>
            <w:tcW w:w="3500" w:type="dxa"/>
            <w:vAlign w:val="bottom"/>
          </w:tcPr>
          <w:p>
            <w:pPr>
              <w:ind w:left="320"/>
              <w:spacing w:after="0"/>
              <w:rPr>
                <w:sz w:val="20"/>
                <w:szCs w:val="20"/>
                <w:color w:val="auto"/>
              </w:rPr>
            </w:pPr>
            <w:r>
              <w:rPr>
                <w:rFonts w:ascii="Arial" w:cs="Arial" w:eastAsia="Arial" w:hAnsi="Arial"/>
                <w:sz w:val="18"/>
                <w:szCs w:val="18"/>
                <w:color w:val="auto"/>
              </w:rPr>
              <w:t>Discovery Communications, LLC</w:t>
            </w:r>
          </w:p>
        </w:tc>
        <w:tc>
          <w:tcPr>
            <w:tcW w:w="3460" w:type="dxa"/>
            <w:vAlign w:val="bottom"/>
          </w:tcPr>
          <w:p>
            <w:pPr>
              <w:ind w:left="440"/>
              <w:spacing w:after="0"/>
              <w:rPr>
                <w:sz w:val="20"/>
                <w:szCs w:val="20"/>
                <w:color w:val="auto"/>
              </w:rPr>
            </w:pPr>
            <w:r>
              <w:rPr>
                <w:rFonts w:ascii="Arial" w:cs="Arial" w:eastAsia="Arial" w:hAnsi="Arial"/>
                <w:sz w:val="18"/>
                <w:szCs w:val="18"/>
                <w:color w:val="auto"/>
              </w:rPr>
              <w:t>Hitachi Vantara</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The University of North Carolina at Chapel Hill</w:t>
            </w:r>
          </w:p>
        </w:tc>
        <w:tc>
          <w:tcPr>
            <w:tcW w:w="3500" w:type="dxa"/>
            <w:vAlign w:val="bottom"/>
          </w:tcPr>
          <w:p>
            <w:pPr>
              <w:ind w:left="320"/>
              <w:spacing w:after="0"/>
              <w:rPr>
                <w:sz w:val="20"/>
                <w:szCs w:val="20"/>
                <w:color w:val="auto"/>
              </w:rPr>
            </w:pPr>
            <w:r>
              <w:rPr>
                <w:rFonts w:ascii="Arial" w:cs="Arial" w:eastAsia="Arial" w:hAnsi="Arial"/>
                <w:sz w:val="18"/>
                <w:szCs w:val="18"/>
                <w:color w:val="auto"/>
              </w:rPr>
              <w:t>Pandora Media, Inc.</w:t>
            </w:r>
          </w:p>
        </w:tc>
        <w:tc>
          <w:tcPr>
            <w:tcW w:w="3460" w:type="dxa"/>
            <w:vAlign w:val="bottom"/>
          </w:tcPr>
          <w:p>
            <w:pPr>
              <w:ind w:left="440"/>
              <w:spacing w:after="0"/>
              <w:rPr>
                <w:sz w:val="20"/>
                <w:szCs w:val="20"/>
                <w:color w:val="auto"/>
              </w:rPr>
            </w:pPr>
            <w:r>
              <w:rPr>
                <w:rFonts w:ascii="Arial" w:cs="Arial" w:eastAsia="Arial" w:hAnsi="Arial"/>
                <w:sz w:val="18"/>
                <w:szCs w:val="18"/>
                <w:color w:val="auto"/>
              </w:rPr>
              <w:t>Oracle America,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Yale University</w:t>
            </w:r>
          </w:p>
        </w:tc>
        <w:tc>
          <w:tcPr>
            <w:tcW w:w="3500" w:type="dxa"/>
            <w:vAlign w:val="bottom"/>
          </w:tcPr>
          <w:p>
            <w:pPr>
              <w:ind w:left="320"/>
              <w:spacing w:after="0"/>
              <w:rPr>
                <w:sz w:val="20"/>
                <w:szCs w:val="20"/>
                <w:color w:val="auto"/>
              </w:rPr>
            </w:pPr>
            <w:r>
              <w:rPr>
                <w:rFonts w:ascii="Arial" w:cs="Arial" w:eastAsia="Arial" w:hAnsi="Arial"/>
                <w:sz w:val="18"/>
                <w:szCs w:val="18"/>
                <w:color w:val="auto"/>
              </w:rPr>
              <w:t>United Talent Agency</w:t>
            </w:r>
          </w:p>
        </w:tc>
        <w:tc>
          <w:tcPr>
            <w:tcW w:w="3460" w:type="dxa"/>
            <w:vAlign w:val="bottom"/>
          </w:tcPr>
          <w:p>
            <w:pPr>
              <w:ind w:left="440"/>
              <w:spacing w:after="0"/>
              <w:rPr>
                <w:sz w:val="20"/>
                <w:szCs w:val="20"/>
                <w:color w:val="auto"/>
              </w:rPr>
            </w:pPr>
            <w:r>
              <w:rPr>
                <w:rFonts w:ascii="Arial" w:cs="Arial" w:eastAsia="Arial" w:hAnsi="Arial"/>
                <w:sz w:val="18"/>
                <w:szCs w:val="18"/>
                <w:color w:val="auto"/>
              </w:rPr>
              <w:t>VMware, Inc.</w:t>
            </w:r>
          </w:p>
        </w:tc>
      </w:tr>
      <w:tr>
        <w:trPr>
          <w:trHeight w:val="333"/>
        </w:trPr>
        <w:tc>
          <w:tcPr>
            <w:tcW w:w="3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Workday, Inc.</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Finance:</w:t>
            </w:r>
          </w:p>
        </w:tc>
        <w:tc>
          <w:tcPr>
            <w:tcW w:w="3500" w:type="dxa"/>
            <w:vAlign w:val="bottom"/>
          </w:tcPr>
          <w:p>
            <w:pPr>
              <w:ind w:left="320"/>
              <w:spacing w:after="0"/>
              <w:rPr>
                <w:sz w:val="20"/>
                <w:szCs w:val="20"/>
                <w:color w:val="auto"/>
              </w:rPr>
            </w:pPr>
            <w:r>
              <w:rPr>
                <w:rFonts w:ascii="Arial" w:cs="Arial" w:eastAsia="Arial" w:hAnsi="Arial"/>
                <w:sz w:val="18"/>
                <w:szCs w:val="18"/>
                <w:b w:val="1"/>
                <w:bCs w:val="1"/>
                <w:color w:val="auto"/>
              </w:rPr>
              <w:t>Healthcare:</w:t>
            </w:r>
          </w:p>
        </w:tc>
        <w:tc>
          <w:tcPr>
            <w:tcW w:w="3460" w:type="dxa"/>
            <w:vAlign w:val="bottom"/>
          </w:tcPr>
          <w:p>
            <w:pPr>
              <w:ind w:left="440"/>
              <w:spacing w:after="0"/>
              <w:rPr>
                <w:sz w:val="20"/>
                <w:szCs w:val="20"/>
                <w:color w:val="auto"/>
              </w:rPr>
            </w:pPr>
            <w:r>
              <w:rPr>
                <w:rFonts w:ascii="Arial" w:cs="Arial" w:eastAsia="Arial" w:hAnsi="Arial"/>
                <w:sz w:val="18"/>
                <w:szCs w:val="18"/>
                <w:b w:val="1"/>
                <w:bCs w:val="1"/>
                <w:color w:val="auto"/>
              </w:rPr>
              <w:t>Manufacturing:</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Capital One Services, LLC</w:t>
            </w:r>
          </w:p>
        </w:tc>
        <w:tc>
          <w:tcPr>
            <w:tcW w:w="3500" w:type="dxa"/>
            <w:vAlign w:val="bottom"/>
          </w:tcPr>
          <w:p>
            <w:pPr>
              <w:ind w:left="320"/>
              <w:spacing w:after="0"/>
              <w:rPr>
                <w:sz w:val="20"/>
                <w:szCs w:val="20"/>
                <w:color w:val="auto"/>
              </w:rPr>
            </w:pPr>
            <w:r>
              <w:rPr>
                <w:rFonts w:ascii="Arial" w:cs="Arial" w:eastAsia="Arial" w:hAnsi="Arial"/>
                <w:sz w:val="18"/>
                <w:szCs w:val="18"/>
                <w:color w:val="auto"/>
              </w:rPr>
              <w:t>Boston Children’s Hospital</w:t>
            </w:r>
          </w:p>
        </w:tc>
        <w:tc>
          <w:tcPr>
            <w:tcW w:w="3460" w:type="dxa"/>
            <w:vAlign w:val="bottom"/>
          </w:tcPr>
          <w:p>
            <w:pPr>
              <w:ind w:left="440"/>
              <w:spacing w:after="0"/>
              <w:rPr>
                <w:sz w:val="20"/>
                <w:szCs w:val="20"/>
                <w:color w:val="auto"/>
              </w:rPr>
            </w:pPr>
            <w:r>
              <w:rPr>
                <w:rFonts w:ascii="Arial" w:cs="Arial" w:eastAsia="Arial" w:hAnsi="Arial"/>
                <w:sz w:val="18"/>
                <w:szCs w:val="18"/>
                <w:color w:val="auto"/>
                <w:w w:val="92"/>
              </w:rPr>
              <w:t>Aristocrat Technologies Australia Pty Ltd</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LPL Financial</w:t>
            </w:r>
          </w:p>
        </w:tc>
        <w:tc>
          <w:tcPr>
            <w:tcW w:w="3500" w:type="dxa"/>
            <w:vAlign w:val="bottom"/>
          </w:tcPr>
          <w:p>
            <w:pPr>
              <w:ind w:left="320"/>
              <w:spacing w:after="0"/>
              <w:rPr>
                <w:sz w:val="20"/>
                <w:szCs w:val="20"/>
                <w:color w:val="auto"/>
              </w:rPr>
            </w:pPr>
            <w:r>
              <w:rPr>
                <w:rFonts w:ascii="Arial" w:cs="Arial" w:eastAsia="Arial" w:hAnsi="Arial"/>
                <w:sz w:val="18"/>
                <w:szCs w:val="18"/>
                <w:color w:val="auto"/>
              </w:rPr>
              <w:t>Medical Information Technology, Inc.</w:t>
            </w:r>
          </w:p>
        </w:tc>
        <w:tc>
          <w:tcPr>
            <w:tcW w:w="3460" w:type="dxa"/>
            <w:vAlign w:val="bottom"/>
          </w:tcPr>
          <w:p>
            <w:pPr>
              <w:ind w:left="440"/>
              <w:spacing w:after="0"/>
              <w:rPr>
                <w:sz w:val="20"/>
                <w:szCs w:val="20"/>
                <w:color w:val="auto"/>
              </w:rPr>
            </w:pPr>
            <w:r>
              <w:rPr>
                <w:rFonts w:ascii="Arial" w:cs="Arial" w:eastAsia="Arial" w:hAnsi="Arial"/>
                <w:sz w:val="18"/>
                <w:szCs w:val="18"/>
                <w:color w:val="auto"/>
              </w:rPr>
              <w:t>Cooper-Standard Automotive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National Australia Bank Limited</w:t>
            </w:r>
          </w:p>
        </w:tc>
        <w:tc>
          <w:tcPr>
            <w:tcW w:w="3500" w:type="dxa"/>
            <w:vAlign w:val="bottom"/>
          </w:tcPr>
          <w:p>
            <w:pPr>
              <w:ind w:left="320"/>
              <w:spacing w:after="0"/>
              <w:rPr>
                <w:sz w:val="20"/>
                <w:szCs w:val="20"/>
                <w:color w:val="auto"/>
              </w:rPr>
            </w:pPr>
            <w:r>
              <w:rPr>
                <w:rFonts w:ascii="Arial" w:cs="Arial" w:eastAsia="Arial" w:hAnsi="Arial"/>
                <w:sz w:val="18"/>
                <w:szCs w:val="18"/>
                <w:color w:val="auto"/>
              </w:rPr>
              <w:t>nib health fund limited</w:t>
            </w:r>
          </w:p>
        </w:tc>
        <w:tc>
          <w:tcPr>
            <w:tcW w:w="3460" w:type="dxa"/>
            <w:vAlign w:val="bottom"/>
          </w:tcPr>
          <w:p>
            <w:pPr>
              <w:ind w:left="440"/>
              <w:spacing w:after="0"/>
              <w:rPr>
                <w:sz w:val="20"/>
                <w:szCs w:val="20"/>
                <w:color w:val="auto"/>
              </w:rPr>
            </w:pPr>
            <w:r>
              <w:rPr>
                <w:rFonts w:ascii="Arial" w:cs="Arial" w:eastAsia="Arial" w:hAnsi="Arial"/>
                <w:sz w:val="18"/>
                <w:szCs w:val="18"/>
                <w:color w:val="auto"/>
              </w:rPr>
              <w:t>Flextronics International</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Wells Fargo Bank, N.A.</w:t>
            </w:r>
          </w:p>
        </w:tc>
        <w:tc>
          <w:tcPr>
            <w:tcW w:w="3500" w:type="dxa"/>
            <w:vAlign w:val="bottom"/>
          </w:tcPr>
          <w:p>
            <w:pPr>
              <w:ind w:left="320"/>
              <w:spacing w:after="0"/>
              <w:rPr>
                <w:sz w:val="20"/>
                <w:szCs w:val="20"/>
                <w:color w:val="auto"/>
              </w:rPr>
            </w:pPr>
            <w:r>
              <w:rPr>
                <w:rFonts w:ascii="Arial" w:cs="Arial" w:eastAsia="Arial" w:hAnsi="Arial"/>
                <w:sz w:val="18"/>
                <w:szCs w:val="18"/>
                <w:color w:val="auto"/>
              </w:rPr>
              <w:t>Novant Health, Inc.</w:t>
            </w:r>
          </w:p>
        </w:tc>
        <w:tc>
          <w:tcPr>
            <w:tcW w:w="3460" w:type="dxa"/>
            <w:vAlign w:val="bottom"/>
          </w:tcPr>
          <w:p>
            <w:pPr>
              <w:ind w:left="440"/>
              <w:spacing w:after="0"/>
              <w:rPr>
                <w:sz w:val="20"/>
                <w:szCs w:val="20"/>
                <w:color w:val="auto"/>
              </w:rPr>
            </w:pPr>
            <w:r>
              <w:rPr>
                <w:rFonts w:ascii="Arial" w:cs="Arial" w:eastAsia="Arial" w:hAnsi="Arial"/>
                <w:sz w:val="18"/>
                <w:szCs w:val="18"/>
                <w:color w:val="auto"/>
              </w:rPr>
              <w:t>Management Services Ltd</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Western Union Financial Services, Inc.</w:t>
            </w:r>
          </w:p>
        </w:tc>
        <w:tc>
          <w:tcPr>
            <w:tcW w:w="3500" w:type="dxa"/>
            <w:vAlign w:val="bottom"/>
          </w:tcPr>
          <w:p>
            <w:pPr>
              <w:spacing w:after="0"/>
              <w:rPr>
                <w:sz w:val="24"/>
                <w:szCs w:val="24"/>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LIXIL Group Corporation</w:t>
            </w:r>
          </w:p>
        </w:tc>
      </w:tr>
    </w:tbl>
    <w:p>
      <w:pPr>
        <w:spacing w:after="0" w:line="200" w:lineRule="exact"/>
        <w:rPr>
          <w:sz w:val="20"/>
          <w:szCs w:val="20"/>
          <w:color w:val="auto"/>
        </w:rPr>
      </w:pPr>
    </w:p>
    <w:p>
      <w:pPr>
        <w:sectPr>
          <w:pgSz w:w="11900" w:h="16838" w:orient="portrait"/>
          <w:cols w:equalWidth="0" w:num="1">
            <w:col w:w="11180"/>
          </w:cols>
          <w:pgMar w:left="240" w:top="459" w:right="479" w:bottom="1440" w:gutter="0" w:footer="0" w:header="0"/>
        </w:sectPr>
      </w:pPr>
    </w:p>
    <w:p>
      <w:pPr>
        <w:spacing w:after="0" w:line="38"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b w:val="1"/>
          <w:bCs w:val="1"/>
          <w:color w:val="auto"/>
        </w:rPr>
        <w:t>Non-Profit, Not for Profit, and Social Impact Organizations: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 Zuckerberg Initiative, LLC</w:t>
      </w:r>
    </w:p>
    <w:p>
      <w:pPr>
        <w:spacing w:after="0" w:line="13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Cooperative for Assistance and Relief Everywhere, Inc. (CARE USA)</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Teach for America, Inc.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b w:val="1"/>
          <w:bCs w:val="1"/>
          <w:color w:val="auto"/>
        </w:rPr>
        <w:t>Retail/Consumer Products:</w:t>
      </w:r>
      <w:r>
        <w:rPr>
          <w:sz w:val="20"/>
          <w:szCs w:val="20"/>
          <w:color w:val="auto"/>
        </w:rPr>
        <w:tab/>
      </w:r>
      <w:r>
        <w:rPr>
          <w:rFonts w:ascii="Arial" w:cs="Arial" w:eastAsia="Arial" w:hAnsi="Arial"/>
          <w:sz w:val="16"/>
          <w:szCs w:val="16"/>
          <w:b w:val="1"/>
          <w:bCs w:val="1"/>
          <w:color w:val="auto"/>
        </w:rPr>
        <w:t>Software and Internet:</w:t>
      </w:r>
    </w:p>
    <w:p>
      <w:pPr>
        <w:spacing w:after="0" w:line="135"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Diageo Great Britain Limited</w:t>
      </w:r>
      <w:r>
        <w:rPr>
          <w:sz w:val="20"/>
          <w:szCs w:val="20"/>
          <w:color w:val="auto"/>
        </w:rPr>
        <w:tab/>
      </w:r>
      <w:r>
        <w:rPr>
          <w:rFonts w:ascii="Arial" w:cs="Arial" w:eastAsia="Arial" w:hAnsi="Arial"/>
          <w:sz w:val="16"/>
          <w:szCs w:val="16"/>
          <w:color w:val="auto"/>
        </w:rPr>
        <w:t>ServiceNow, Inc.</w:t>
      </w:r>
    </w:p>
    <w:p>
      <w:pPr>
        <w:spacing w:after="0" w:line="13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Gap Inc.</w:t>
      </w:r>
      <w:r>
        <w:rPr>
          <w:sz w:val="20"/>
          <w:szCs w:val="20"/>
          <w:color w:val="auto"/>
        </w:rPr>
        <w:tab/>
      </w:r>
      <w:r>
        <w:rPr>
          <w:rFonts w:ascii="Arial" w:cs="Arial" w:eastAsia="Arial" w:hAnsi="Arial"/>
          <w:sz w:val="16"/>
          <w:szCs w:val="16"/>
          <w:color w:val="auto"/>
        </w:rPr>
        <w:t>Splunk Inc.</w:t>
      </w:r>
    </w:p>
    <w:p>
      <w:pPr>
        <w:spacing w:after="0" w:line="13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H-E-B Grocery Company, LP</w:t>
      </w:r>
      <w:r>
        <w:rPr>
          <w:sz w:val="20"/>
          <w:szCs w:val="20"/>
          <w:color w:val="auto"/>
        </w:rPr>
        <w:tab/>
      </w:r>
      <w:r>
        <w:rPr>
          <w:rFonts w:ascii="Arial" w:cs="Arial" w:eastAsia="Arial" w:hAnsi="Arial"/>
          <w:sz w:val="16"/>
          <w:szCs w:val="16"/>
          <w:color w:val="auto"/>
        </w:rPr>
        <w:t>Uber Technologies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Southern Glazer’s Wine and Spirits,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Williams-Sonoma Inc.</w:t>
      </w:r>
    </w:p>
    <w:p>
      <w:pPr>
        <w:spacing w:after="0" w:line="200" w:lineRule="exact"/>
        <w:rPr>
          <w:sz w:val="20"/>
          <w:szCs w:val="20"/>
          <w:color w:val="auto"/>
        </w:rPr>
      </w:pPr>
    </w:p>
    <w:p>
      <w:pPr>
        <w:sectPr>
          <w:pgSz w:w="11900" w:h="16838" w:orient="portrait"/>
          <w:cols w:equalWidth="0" w:num="2">
            <w:col w:w="3900" w:space="400"/>
            <w:col w:w="6880"/>
          </w:cols>
          <w:pgMar w:left="240" w:top="459" w:right="479" w:bottom="1440" w:gutter="0" w:footer="0" w:header="0"/>
          <w:type w:val="continuous"/>
        </w:sectPr>
      </w:pP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 Case Studies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representative examples of how some of our customers have benefitted from adopting Zoom:</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 Zuckerberg Initiative</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Situation</w:t>
      </w:r>
      <w:r>
        <w:rPr>
          <w:rFonts w:ascii="Arial" w:cs="Arial" w:eastAsia="Arial" w:hAnsi="Arial"/>
          <w:sz w:val="16"/>
          <w:szCs w:val="16"/>
          <w:color w:val="auto"/>
        </w:rPr>
        <w:t>: The Chan Zuckerberg Initiative (CZI) is a philanthropic organization focused on using technology to help solve intractable challenges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eradicating disease and reforming the criminal justice system. Entering 2018 as a rapidly growing organization, CZI struggled with having high-quality and reliable video conferencing. Meetings with remote participants often did not start on time as conference rooms were not easy to use, regularly had technical failures such as dropped calls, and rapid employee growth led to confusion due to a lack of training on a complicated system.</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59" w:right="47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CZI deployed Zoom across the organization, initially for mostly internal meetings, but rapidly expanded to global internal and external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Meetings begin on time more often as Zoom meetings are easy to start and do not require complex setup within Zoom Rooms. Employees no longer need extensive video conferencing training and have experienced increased reliability with their calls. CZI employees periodically work with organizations around the world, so Zoom’s reliability in low-bandwidth environments helps ensure those meetings can be conducted over video. In addition to deploying Zoom to employee devices, CZI has adopted a 100% video conferencing approach within their conference rooms and event spaces, building out nearly 100 Zoom Rooms of varying sizes and uses.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Discovery Communications, LLC</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Discovery Communications, LLC (Discovery) is a global leader in real life entertainment, with more than 150 worldwide cable TV</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including Discovery Channel, Animal Planet, and The Learning Channel (TLC). Discovery was previously operating with a mix of video conferencing solutions across desktop, mobile, and conference rooms, which created significant complexity due to the number of disparate tools and use cases, coupled with the burden of maintaining on-premises systems. Many of these tools were unable to properly share video and audio content simultaneously at high bit rates, a critical task for a media company that needs to collaborate on, review and edit video content across its global workforce.</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color w:val="auto"/>
        </w:rPr>
        <w:t>: In 2018, Discovery chose Zoom as its communication platform to unify video communications across desktop, mobile and conference</w:t>
      </w:r>
      <w:r>
        <w:rPr>
          <w:rFonts w:ascii="Arial" w:cs="Arial" w:eastAsia="Arial" w:hAnsi="Arial"/>
          <w:sz w:val="18"/>
          <w:szCs w:val="18"/>
          <w:i w:val="1"/>
          <w:iCs w:val="1"/>
          <w:color w:val="auto"/>
        </w:rPr>
        <w:t xml:space="preserve"> </w:t>
      </w:r>
      <w:r>
        <w:rPr>
          <w:rFonts w:ascii="Arial" w:cs="Arial" w:eastAsia="Arial" w:hAnsi="Arial"/>
          <w:sz w:val="18"/>
          <w:szCs w:val="18"/>
          <w:color w:val="auto"/>
        </w:rPr>
        <w:t>rooms. Zoom was selected in part for its cloud infrastructure and its support for legacy hardware with Zoom Conference Room Connector, which allowed Discovery to transition over time from its legacy solutions to Zoom Rooms. Discovery is now rolling out Zoom Rooms globally, thereby unifying all video communications through one cloud platform. Discovery makes extensive use of Zoom’s video and audio screen sharing, a feature that allows its employees to share and collaborate on streaming content, such as television episodes and commercials, over Zoom. Discovery also makes frequent use of Zoom’s Microsoft Outlook and Workplace by Facebook integrations, through which Discovery’s employees can directly broadcast from the Zoom client to Workplace.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F5 Networks, Inc.</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F5 Networks, Inc. (F5) delivers cloud and application security services to the world’s largest businesses, service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governments, and consumer brands. With more than 4,500 employees around the globe, F5 found that its previous collaboration tools struggled to support users across different regions and devices (especially Mac users). F5’s employees were using four different collaboration providers, creating inefficiencies and requiring F5’s IT to support multiple tools. Additionally, without reliable VoIP, F5 relied heavily on PSTN audio calls, which resulted in an average of $65,000 per year in overage charges.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In May 2018, F5 chose Zoom to replace all four providers it had been using for communication and collaboration. F5 rolled out Zoom in</w:t>
      </w:r>
      <w:r>
        <w:rPr>
          <w:rFonts w:ascii="Arial" w:cs="Arial" w:eastAsia="Arial" w:hAnsi="Arial"/>
          <w:sz w:val="17"/>
          <w:szCs w:val="17"/>
          <w:i w:val="1"/>
          <w:iCs w:val="1"/>
          <w:color w:val="auto"/>
        </w:rPr>
        <w:t xml:space="preserve"> </w:t>
      </w:r>
      <w:r>
        <w:rPr>
          <w:rFonts w:ascii="Arial" w:cs="Arial" w:eastAsia="Arial" w:hAnsi="Arial"/>
          <w:sz w:val="17"/>
          <w:szCs w:val="17"/>
          <w:color w:val="auto"/>
        </w:rPr>
        <w:t>fewer than 90 days to the entire company. F5 saw a dramatic increase in its Zoom usage, with the total number of Zoom meetings increasing by more than seven times and total hours spent on Zoom increasing by more than 10 times, all within the first 90 days of adoption. F5’s employees were also using Zoom differently than previous tools. The number of people using video to connect through virtual face-to-face interactions increased significantly. Zoom’s high-quality VoIP reduced the audio overages expense as employees used Zoom for meeting audio instead of the phone, resulting in significant cost savings. Within the first month, VoIP was used in more than 70% of Zoom meetings, and VoIP usage has continued to grow quarter-over-quarter. Zoom has helped support broader company initiatives, such as an expanded work-from-home policy, greater international expansion, and virtual company-wide all-hands meetings. F5’s new Seattle headquarters is fully Zoom-enabled with over 190 Zoom Rooms, including a Zoom-powered executive briefing center, interview rooms, and training rooms.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National Australia Bank</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i w:val="1"/>
          <w:iCs w:val="1"/>
          <w:color w:val="auto"/>
        </w:rPr>
        <w:t>Situation</w:t>
      </w:r>
      <w:r>
        <w:rPr>
          <w:rFonts w:ascii="Arial" w:cs="Arial" w:eastAsia="Arial" w:hAnsi="Arial"/>
          <w:sz w:val="17"/>
          <w:szCs w:val="17"/>
          <w:color w:val="auto"/>
        </w:rPr>
        <w:t>: National Australia Bank (NAB) is Australia’s largest business bank, with 33,000 employees serving 9 million customers at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900 locations. NAB funds important infrastructure in its communities including schools, hospitals and roads. In 2018, NAB began looking for a collaboration technology that would support its modernization efforts and help to drive cultural transformation at the 160-year-old bank.</w:t>
      </w:r>
    </w:p>
    <w:p>
      <w:pPr>
        <w:spacing w:after="0" w:line="166"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NAB extensively tested a variety of services, simulating, in particular, low bandwidth environments given its broad local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footprint. NAB found that Zoom consistently outperformed other services, solving the challenges it experienced collaborating across its branch network. Zoom also met all of NAB’s requirements, including working across devices and workspaces, performing well in low bandwidth environments, and suitable to scale to 33,000+ users effortlessly. Zoom was also selected because of its ability to integrate seamlessly with Microsoft Teams and Office 365. Additionally, Zoom’s ability to support companywide all-hands meetings on video, allowing NAB’s CEO to connect face-to-face with the global employee base, was a key selection factor. Finally, Zoom Rooms have significantly lowered the cost of building video-enabled conference rooms, allowing NAB to scale video collaboration spaces even to small remote branches.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Uber Technologies Inc.</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Uber Technologies Inc. (Uber) is a global company whose mission is to ignite opportunity by setting the world in motion. Uber has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more than 10 billion trips and is committed to building a platform that enables the safe, efficient movement of people around the world. With over 20,000 employees in hundreds of offices in more than 60 countries, Uber needed a scalable, robust platform to manage its workforce communications. Uber also wanted to outfit thousands of huddle and conference rooms in a way that would not cost tens of thousands of dollars per room. Additionally, given the global distribution of its workforce, Uber required a communication platform that its employees could use to communicate and collaborate from anywhere.</w:t>
      </w:r>
    </w:p>
    <w:p>
      <w:pPr>
        <w:spacing w:after="0" w:line="193"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Uber deployed Zoom in 2014 across its organization. Zoom was able to match Uber’s swift growth as it expanded around the world and</w:t>
      </w:r>
      <w:r>
        <w:rPr>
          <w:rFonts w:ascii="Arial" w:cs="Arial" w:eastAsia="Arial" w:hAnsi="Arial"/>
          <w:sz w:val="17"/>
          <w:szCs w:val="17"/>
          <w:i w:val="1"/>
          <w:iCs w:val="1"/>
          <w:color w:val="auto"/>
        </w:rPr>
        <w:t xml:space="preserve"> </w:t>
      </w:r>
      <w:r>
        <w:rPr>
          <w:rFonts w:ascii="Arial" w:cs="Arial" w:eastAsia="Arial" w:hAnsi="Arial"/>
          <w:sz w:val="17"/>
          <w:szCs w:val="17"/>
          <w:color w:val="auto"/>
        </w:rPr>
        <w:t>rapidly grew its employee base. Uber has added thousands of Zoom licenses each year to match Uber’s growth. Zoom is now woven into the fabric of Uber’s culture. Employees use Zoom to communicate and collaborate with each other from around the world. Uber has also established over 2,000 Zoom Rooms. Uber averaged over 14 million Zoom meeting minutes a month in 2018 with a Zoom CSAT greater than 95.</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VMware, Inc.</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VMware, Inc. (VMware) is a provider of cloud computing and platform virtualization software and services with over 21,000</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large engineering offices in Palo Alto and India. VMware employees historically used a mix of legacy tools to collaborate, causing users to experience low-quality connections and consistent challenges sharing content through video communications. VMware wanted to encourage a collaborative environment through the use of video, which it found to be difficult given the poor quality and reliability of video services in low bandwidth environments.</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Solution</w:t>
      </w:r>
      <w:r>
        <w:rPr>
          <w:rFonts w:ascii="Arial" w:cs="Arial" w:eastAsia="Arial" w:hAnsi="Arial"/>
          <w:sz w:val="16"/>
          <w:szCs w:val="16"/>
          <w:color w:val="auto"/>
        </w:rPr>
        <w:t>: VMware rolled out Zoom across the company starting in December 2017. In January 2019, VMware had over 19,000 Zoom users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hosted over 41 million meeting minutes in January alone. Those meetings were attended by more than a million participants. In addition to providing Zoom to its employees for desktop and mobile meetings, VMware deployed Zoom Video Webinars for town halls and public events. VMware uses a number of Zoom integrations that further collaboration and business goals, including Slack, Microsoft Teams and Salesforce Pardot. VMware has achieved significant cost savings by using Zoom VoIP in place of PSTN. Employees are overwhelmingly happy with Zoom. The average monthly CSAT for VMware employees using Zoom from December 2017 through November 2018 was 96%, as measured by customer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342" w:lineRule="auto"/>
        <w:rPr>
          <w:sz w:val="20"/>
          <w:szCs w:val="20"/>
          <w:color w:val="auto"/>
        </w:rPr>
      </w:pPr>
      <w:r>
        <w:rPr>
          <w:rFonts w:ascii="Arial" w:cs="Arial" w:eastAsia="Arial" w:hAnsi="Arial"/>
          <w:sz w:val="16"/>
          <w:szCs w:val="16"/>
          <w:color w:val="auto"/>
        </w:rPr>
        <w:t>surveys. Zoom has become more than just a vendor for VMware, as improving employee experience is a key transformation program for IT. With Zoom solutions integrated with VMware Workspace ONE, deployment has been flawless and the one-touch sign-on features have been well-received by users.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Our sales model combines our viral demand generation and our free Zoom Meeting plan with a sales approach optimized for the size of each customer opportunity. This approach allows us to cost-effectively drive strong lead generation, upgrade free users to paid users and expand within organizations of all sizes and verticals. We leverage this demand through an integrated set of routes-to-market that include direct sales representatives, online channel, resellers and strategic partners.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marketing team’s primary objective is to create preference for our brand by leveraging our viral growth, building awareness and engaging our users in person. Our team leverages our viral demand model to attract more paying users through orchestrated customer marketing programs, which reduces customer acquisition costs. We complement our viral growth with targeted online and out of home advertising. We use a variety of weighted metrics to determine our target geographic markets. We work with analysts and customers to provide third-party validation of our platform. We also participated in over 180 marketing and customer events around the world in 2018 and connect with and celebrate our users at Zoomtopia, our annual user conference.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drive our business with constant innovation. Our ability to lead our market depends on our rapid introduction of new applications, technologies, features and functionality. We respond to customer needs with action to drive positive user experiences. Our engineers aim to stay on the cutting edge of video communication and collaboration technologies and release on average over 200 new and enhanced features a year. We strive to deliver the best experience to our users by dedicating approximately 20% of engineering capacity to developing on-demand, customer-requested features that would be valuable across our customer base. We have research and development presence in both the United States and China, which we believe is a strategic advantage for us, allowing us to invest more in increasing our product capabilities in an efficient manner.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markets in which we operate are highly competitive. A significant number of companies have developed or are developing products and services that currently, or in the future may, compete with some or all of our offerings. Many of these services do not offer complete solutions – often they provide a feature comparable to a component of our platform (e.g., only conference rooms, only chat, only telephony). We primarily face competition from legacy web-based meeting services providers, including Webex and Skype for Business, bundled productivity solutions providers with basic video functionality, including Google, and point solutions providers, including LogMeIn. Our introduction of Zoom Phone may lead to competition with legacy PBX providers.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31" w:lineRule="exact"/>
        <w:rPr>
          <w:sz w:val="20"/>
          <w:szCs w:val="20"/>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video-first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cloud-native architecture;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functionality and scalability;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ease of use and reliability;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ability to utilize existing infrastructure such as legacy conference room hardware;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low total cost of ownership.</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Intellectual property is an important aspect of our business, and we seek protection for our intellectual property as appropriate.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6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continually review our development efforts to assess the existence and patentability of new intellectual property. We pursue the registration of our domain names, trademarks and service marks in the United States and in certain locations outside the United States. To protect our brand, we file trademark registrations in some jurisdictions.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Our corporate headquarters is located in San Jose, California, where we lease approximately 66,000 square feet of commercial space pursuant to operating leases that expire in the year ending January 31, 2030. In addition, we maintain additional offices in the United States and internationally in Australia, China and the United Kingdom. We believe that our facilities are suitable to meet our current needs.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As of January 31, 2019, we had 1,702 full-time employees. Of these employees, 1,012 are in the United States and 690 are in our international locations. None of our employees are represented by a labor union or covered by collective bargaining agreements, and we have not experienced any work stoppages.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for our executive officers and directors as of March 15,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ind w:left="106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Eric S. Yuan</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49</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President, Chief Executive Officer and Chairman of the Board</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41</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Janine Pelosi</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36</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Chief Marketing Officer</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Kelly Steckelberg</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51</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(1)</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Carl M. Eschenbach</w:t>
            </w:r>
            <w:r>
              <w:rPr>
                <w:rFonts w:ascii="Arial" w:cs="Arial" w:eastAsia="Arial" w:hAnsi="Arial"/>
                <w:sz w:val="15"/>
                <w:szCs w:val="15"/>
                <w:color w:val="auto"/>
              </w:rPr>
              <w:t>(1)</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52</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Gassner</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(3)</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51</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(1)(2)</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56</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Lead Independent 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Santiago Subotovsky</w:t>
            </w:r>
            <w:r>
              <w:rPr>
                <w:rFonts w:ascii="Arial" w:cs="Arial" w:eastAsia="Arial" w:hAnsi="Arial"/>
                <w:sz w:val="15"/>
                <w:szCs w:val="15"/>
                <w:color w:val="auto"/>
              </w:rPr>
              <w:t>(2)(3)</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41</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Bart Swanson</w:t>
            </w:r>
            <w:r>
              <w:rPr>
                <w:rFonts w:ascii="Arial" w:cs="Arial" w:eastAsia="Arial" w:hAnsi="Arial"/>
                <w:sz w:val="15"/>
                <w:szCs w:val="15"/>
                <w:color w:val="auto"/>
              </w:rPr>
              <w:t>(2)(3)</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55</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i w:val="1"/>
          <w:iCs w:val="1"/>
          <w:color w:val="auto"/>
        </w:rPr>
        <w:t>Eric S. Yuan</w:t>
      </w:r>
      <w:r>
        <w:rPr>
          <w:rFonts w:ascii="Arial" w:cs="Arial" w:eastAsia="Arial" w:hAnsi="Arial"/>
          <w:sz w:val="16"/>
          <w:szCs w:val="16"/>
          <w:color w:val="auto"/>
        </w:rPr>
        <w:t>. Mr. Yuan is the founder of our company and has served as the Chairman of our board directors,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58"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Mr. Yuan was selected to serve on our board of directors because of the perspective and experience he brings as our founder, as well as his extensive experience with technology companies.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Aparna Bawa</w:t>
      </w:r>
      <w:r>
        <w:rPr>
          <w:rFonts w:ascii="Arial" w:cs="Arial" w:eastAsia="Arial" w:hAnsi="Arial"/>
          <w:sz w:val="18"/>
          <w:szCs w:val="18"/>
          <w:color w:val="auto"/>
        </w:rPr>
        <w:t>. Ms. Bawa has served as our General Counsel since September 2018 and as our Secretary since December 2018.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8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Janine Pelosi</w:t>
      </w:r>
      <w:r>
        <w:rPr>
          <w:rFonts w:ascii="Arial" w:cs="Arial" w:eastAsia="Arial" w:hAnsi="Arial"/>
          <w:sz w:val="18"/>
          <w:szCs w:val="18"/>
          <w:color w:val="auto"/>
        </w:rPr>
        <w:t>. Ms. Pelosi has served as our Chief Marketing Officer since March 2019. She previously served as our Head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Online Business from November 2018 to March 2019. Prior to this, Ms. Pelosi served as our Head of Marketing from March 2015 to November 2018. From May 2007</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Kelly Steckelberg. </w:t>
      </w:r>
      <w:r>
        <w:rPr>
          <w:rFonts w:ascii="Arial" w:cs="Arial" w:eastAsia="Arial" w:hAnsi="Arial"/>
          <w:sz w:val="18"/>
          <w:szCs w:val="18"/>
          <w:color w:val="auto"/>
        </w:rPr>
        <w:t>Ms. Steckelberg has served as our Chief Financial Officer since November 2017. Prior to joining us, Ms. Steckelberg served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Jonathan Chadwick</w:t>
      </w:r>
      <w:r>
        <w:rPr>
          <w:rFonts w:ascii="Arial" w:cs="Arial" w:eastAsia="Arial" w:hAnsi="Arial"/>
          <w:sz w:val="17"/>
          <w:szCs w:val="17"/>
          <w:color w:val="auto"/>
        </w:rPr>
        <w:t>. Mr. Chadwick has served as a member of our board of directors since September 2017. Since April 2016, Mr. Chadwick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Cognizant Technology Solutions Corporation, an IT business services provider, Elastic N.V., a search and data analysis company, ServiceNow, Inc., a cloud computing company, and various private companies. He previously served on the board of directors of F5 Networks, Inc., an application networking delivery company. Mr. Chadwick is a Chartered Accountant in England and holds a B.Sc. degree in Electrical and Electronic Engineering from the University of Bath.</w:t>
      </w:r>
    </w:p>
    <w:p>
      <w:pPr>
        <w:spacing w:after="0" w:line="18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Carl M. Eschenbach</w:t>
      </w:r>
      <w:r>
        <w:rPr>
          <w:rFonts w:ascii="Arial" w:cs="Arial" w:eastAsia="Arial" w:hAnsi="Arial"/>
          <w:sz w:val="16"/>
          <w:szCs w:val="16"/>
          <w:color w:val="auto"/>
        </w:rPr>
        <w:t>. Mr. Eschenbach has served as a member of our board of directors since November 2016. Since April 2016, Mr. Eschenbach</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a general partner at Sequoia Capital Operations, LLC, a venture capital firm. Prior to joining Sequoia Capital Operations, LLC,</w:t>
      </w:r>
    </w:p>
    <w:p>
      <w:pPr>
        <w:ind w:left="200" w:right="120"/>
        <w:spacing w:after="0" w:line="269" w:lineRule="auto"/>
        <w:rPr>
          <w:sz w:val="20"/>
          <w:szCs w:val="20"/>
          <w:color w:val="auto"/>
        </w:rPr>
      </w:pPr>
      <w:r>
        <w:rPr>
          <w:rFonts w:ascii="Arial" w:cs="Arial" w:eastAsia="Arial" w:hAnsi="Arial"/>
          <w:sz w:val="17"/>
          <w:szCs w:val="17"/>
          <w:color w:val="auto"/>
        </w:rPr>
        <w:t>Mr. Eschenbach spent 14 years at VMware, Inc., most recently as its President and Chief Operating Officer, a role he held from December 2012 to March 2016. He served as VMware, Inc.’s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and Workday, Inc., a leading provider of enterprise cloud applications. Mr. Eschenbach is also a director of several private companies. Mr. Eschenbach received an electronics technician diploma from DeVry University.</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believe Mr. Eschenbach is qualified to serve as a member of our board of directors because of his significant experience in the technology industry and service on the boards of directors of various public companies.</w:t>
      </w:r>
    </w:p>
    <w:p>
      <w:pPr>
        <w:spacing w:after="0" w:line="17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 xml:space="preserve">Peter Gassner. </w:t>
      </w:r>
      <w:r>
        <w:rPr>
          <w:rFonts w:ascii="Arial" w:cs="Arial" w:eastAsia="Arial" w:hAnsi="Arial"/>
          <w:sz w:val="17"/>
          <w:szCs w:val="17"/>
          <w:color w:val="auto"/>
        </w:rPr>
        <w:t>Mr. Gassner has served as a member of our board of directors since October 2015. Since January 2007, Mr. Gassner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also serves on the board of directors of Guidewire Software, Inc., a software publisher. Mr. Gassner holds a B.S. in Computer Science from Oregon State University.</w:t>
      </w:r>
    </w:p>
    <w:p>
      <w:pPr>
        <w:spacing w:after="0" w:line="17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 xml:space="preserve">Kimberly L. Hammonds. </w:t>
      </w:r>
      <w:r>
        <w:rPr>
          <w:rFonts w:ascii="Arial" w:cs="Arial" w:eastAsia="Arial" w:hAnsi="Arial"/>
          <w:sz w:val="16"/>
          <w:szCs w:val="16"/>
          <w:color w:val="auto"/>
        </w:rPr>
        <w:t>Ms. Hammonds has served as a member of our board of directors since September 2018. Ms. Hammonds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Cloudera, Inc., a data management, machine learning and advance analytics platform provider, Tenable Holdings, Inc., a provider of cybersecurity solutions, and Red Hat, Inc., a provider of open source solutions. Ms. Hammonds holds a B.S.E. from the University of Michigan at Ann Arbor and an MBA from Western Michigan University.</w:t>
      </w:r>
    </w:p>
    <w:p>
      <w:pPr>
        <w:spacing w:after="0" w:line="16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Ms. Hammonds is qualified to serve as a member of our board of directors because of her significant market and financial expertise and service on the boards of directors of various public companies.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Dan Scheinman</w:t>
      </w:r>
      <w:r>
        <w:rPr>
          <w:rFonts w:ascii="Arial" w:cs="Arial" w:eastAsia="Arial" w:hAnsi="Arial"/>
          <w:sz w:val="18"/>
          <w:szCs w:val="18"/>
          <w:color w:val="auto"/>
        </w:rPr>
        <w:t>. Mr. Scheinman has served as a member of our board of directors since January 2013. Since April 2011, Mr. Scheinman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SentinelOne, an endpoint protection company. Mr. Scheinman holds a B.A. degree in Politics from Brandeis University and a J.D. from the Duke University School of Law.</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believe Mr. Scheinman is qualified to serve as a member of our board of directors because of his significant knowledge of our company and the technology industry.</w:t>
      </w:r>
    </w:p>
    <w:p>
      <w:pPr>
        <w:spacing w:after="0" w:line="170"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i w:val="1"/>
          <w:iCs w:val="1"/>
          <w:color w:val="auto"/>
        </w:rPr>
        <w:t>Santiago Subotovsky</w:t>
      </w:r>
      <w:r>
        <w:rPr>
          <w:rFonts w:ascii="Arial" w:cs="Arial" w:eastAsia="Arial" w:hAnsi="Arial"/>
          <w:sz w:val="18"/>
          <w:szCs w:val="18"/>
          <w:color w:val="auto"/>
        </w:rPr>
        <w:t>. Mr. Subotovsky has served as a member of our board of directors since December 2014. Mr. Subotovsky is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Emergence Capital, a venture capital firm, and has been with the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believe Mr. Subotovsky is qualified to serve on our board of directors because of his experience in the venture capital industry and his market knowledge and experience serving as a director of various private companies.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Bart Swanson</w:t>
      </w:r>
      <w:r>
        <w:rPr>
          <w:rFonts w:ascii="Arial" w:cs="Arial" w:eastAsia="Arial" w:hAnsi="Arial"/>
          <w:sz w:val="17"/>
          <w:szCs w:val="17"/>
          <w:color w:val="auto"/>
        </w:rPr>
        <w:t>. Mr. Swanson has served as a member of our board of directors since August 2013. Since March 2013, Mr. Swanson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including Beyond Merits Limited.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7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believe Mr. Swanson is qualified to serve as a member of our board of directors because of his experience in the venture capital industry and his market knowledge and experience serving as a director of various private companies.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eight directors. Our current directors will continue to serve as directors until their resignation, removal or successor is duly elected. Pursuant to our amended and restated bylaws and amended and restated certificate of incorporation as in effect prior to the completion of this offering and a voting agreement, Messrs. Scheinman and Yuan were elected to serve as members of our board of directors by the holders of our common stock, Messrs. Eschenbach, Subotovsky and Swanson were elected to serve as members of our board of directors by the holders of our convertible preferred stock, and Messrs. Chadwick and Gassner and Ms. Hammonds were elected to serve as members of our board of directors by the holders of a majority of our capital stock, voting together. The provisions of our amended and restated bylaws, amended and restated certificate of incorporation, and the voting agreement by which the directors are currently elected will terminate in connection with this offering, and there will be no contractual obligations regarding the election of our directors upon completion of this offering.</w:t>
      </w:r>
    </w:p>
    <w:p>
      <w:pPr>
        <w:spacing w:after="0" w:line="19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upon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4" w:lineRule="exact"/>
        <w:rPr>
          <w:sz w:val="20"/>
          <w:szCs w:val="20"/>
          <w:color w:val="auto"/>
        </w:rPr>
      </w:pPr>
    </w:p>
    <w:p>
      <w:pPr>
        <w:ind w:left="1060" w:right="8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 directors will be Messrs. Gassner and Yuan, and their terms will expire at our first annual meeting of stockholders following this offering;</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II directors will be Messrs. Chadwick and Scheinman and Ms. Hammonds, and their terms will expire at our second annual meeting of stockholders following this offering; and</w:t>
      </w:r>
    </w:p>
    <w:p>
      <w:pPr>
        <w:spacing w:after="0" w:line="75"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Class III directors will be Messrs. Eschenbach, Subotovsky and Swanson, and their terms will expire at our third annual meeting of stockholders following this offering.</w:t>
      </w:r>
    </w:p>
    <w:p>
      <w:pPr>
        <w:spacing w:after="0" w:line="170"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Ms. Hammonds and Messrs. Chadwick, Eschenbach, Gassner, Scheinman, Subotovsky and Swanson do not have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our corporate governance guidelines will provide that in the event that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will provide that if our board of directors elects a lead independent director, currently Mr. Scheinman, such lead independent director will preside over meetings of our independent directors, coordinate activities of the independent directors, oversee, with our nominating and corporate governance committee, the self-evaluation of our board of directors, including committees of our board of directors, and preside over any portions of meetings of our board of directors at which the performance of our board of directors is presented or discussed, be available for consultation and director communication with stockholders as deemed appropriate, and perform such additional duties as our board of directors may otherwise determine and delegate.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audit committee consists of Messrs. Chadwick, Eschenbach and Scheinman.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7" w:lineRule="exact"/>
        <w:rPr>
          <w:sz w:val="20"/>
          <w:szCs w:val="20"/>
          <w:color w:val="auto"/>
        </w:rPr>
      </w:pPr>
    </w:p>
    <w:p>
      <w:pPr>
        <w:ind w:left="5620" w:right="3080" w:hanging="4984"/>
        <w:spacing w:after="0" w:line="449" w:lineRule="auto"/>
        <w:tabs>
          <w:tab w:leader="none" w:pos="10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98</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The Nasdaq Stock Market.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compensation committee consists of Messrs. Scheinman, Subotovsky and Swanson. The chair of our compensation committee is</w:t>
      </w:r>
    </w:p>
    <w:p>
      <w:pPr>
        <w:spacing w:after="0" w:line="35" w:lineRule="exact"/>
        <w:rPr>
          <w:sz w:val="20"/>
          <w:szCs w:val="20"/>
          <w:color w:val="auto"/>
        </w:rPr>
      </w:pPr>
    </w:p>
    <w:p>
      <w:pPr>
        <w:ind w:left="200" w:right="200"/>
        <w:spacing w:after="0" w:line="290" w:lineRule="auto"/>
        <w:rPr>
          <w:sz w:val="20"/>
          <w:szCs w:val="20"/>
          <w:color w:val="auto"/>
        </w:rPr>
      </w:pPr>
      <w:r>
        <w:rPr>
          <w:rFonts w:ascii="Arial" w:cs="Arial" w:eastAsia="Arial" w:hAnsi="Arial"/>
          <w:sz w:val="17"/>
          <w:szCs w:val="17"/>
          <w:color w:val="auto"/>
        </w:rPr>
        <w:t>Mr. Scheinman. Our board of directors has determined that each member of the compensation committee is independent under the listing standards of The Nasdaq Stock Market, and a “non-employee director” as defined in Rule 16b-3 promulgated under the Exchange Act.</w:t>
      </w:r>
    </w:p>
    <w:p>
      <w:pPr>
        <w:spacing w:after="0" w:line="162"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7"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compensation of our chief executive officer and other executive officers;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30" w:lineRule="exact"/>
        <w:rPr>
          <w:rFonts w:ascii="Arial" w:cs="Arial" w:eastAsia="Arial" w:hAnsi="Arial"/>
          <w:sz w:val="18"/>
          <w:szCs w:val="18"/>
          <w:color w:val="auto"/>
        </w:rPr>
      </w:pPr>
    </w:p>
    <w:p>
      <w:pPr>
        <w:jc w:val="both"/>
        <w:ind w:left="1060" w:right="40" w:hanging="424"/>
        <w:spacing w:after="0" w:line="342"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29" w:lineRule="exact"/>
        <w:rPr>
          <w:rFonts w:ascii="Arial" w:cs="Arial" w:eastAsia="Arial" w:hAnsi="Arial"/>
          <w:sz w:val="16"/>
          <w:szCs w:val="16"/>
          <w:color w:val="auto"/>
        </w:rPr>
      </w:pPr>
    </w:p>
    <w:p>
      <w:pPr>
        <w:ind w:left="1060" w:right="34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The Nasdaq Stock Market.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Our nominating and corporate governance committee consists of Ms. Hammonds and Messrs. Subotovsky and Swanson. The chair of our nominating and corporate governance committee is Mr. Subotovsky. Our board of directors has determined that each member of the nominating and corporate governance committee is independent under the listing standards of The Nasdaq Stock Market.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60" w:right="54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developing and making recommendations to our board of directors regarding corporate governance guidelines and related matters;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listing standards of The Nasdaq Stock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https://zoom.com. In addition, we intend to post on our website all disclosures that are required by law or the listing standards of The Nasdaq Stock Market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fiscal year ended January 31, 2019, we did not pay cash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the fiscal year ended January 31, 2019, other than Eric S. Yuan, our President and Chief Executive Officer, who is also a member of our board of directors but did not receive any additional compensation for service as a director. The compensation of Mr. Yuan as a named executive officer is set forth below under “Executive Compensation—Summary Compensation Table.”</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1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Option Awards ($)</w:t>
            </w:r>
            <w:r>
              <w:rPr>
                <w:rFonts w:ascii="Arial" w:cs="Arial" w:eastAsia="Arial" w:hAnsi="Arial"/>
                <w:sz w:val="12"/>
                <w:szCs w:val="12"/>
                <w:b w:val="1"/>
                <w:bCs w:val="1"/>
                <w:color w:val="auto"/>
                <w:w w:val="96"/>
              </w:rPr>
              <w:t>(1)(2)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(3)</w:t>
            </w:r>
          </w:p>
        </w:tc>
        <w:tc>
          <w:tcPr>
            <w:tcW w:w="3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Samuel Chen</w:t>
            </w:r>
            <w:r>
              <w:rPr>
                <w:rFonts w:ascii="Arial" w:cs="Arial" w:eastAsia="Arial" w:hAnsi="Arial"/>
                <w:sz w:val="15"/>
                <w:szCs w:val="15"/>
                <w:color w:val="auto"/>
              </w:rPr>
              <w:t>(4)</w:t>
            </w: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Eschenbach</w:t>
            </w:r>
          </w:p>
        </w:tc>
        <w:tc>
          <w:tcPr>
            <w:tcW w:w="3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Peter Gassner</w:t>
            </w:r>
            <w:r>
              <w:rPr>
                <w:rFonts w:ascii="Arial" w:cs="Arial" w:eastAsia="Arial" w:hAnsi="Arial"/>
                <w:sz w:val="15"/>
                <w:szCs w:val="15"/>
                <w:color w:val="auto"/>
              </w:rPr>
              <w:t>(5)</w:t>
            </w: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(6)</w:t>
            </w:r>
          </w:p>
        </w:tc>
        <w:tc>
          <w:tcPr>
            <w:tcW w:w="35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1,362,390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1,362,390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(7)</w:t>
            </w:r>
          </w:p>
        </w:tc>
        <w:tc>
          <w:tcPr>
            <w:tcW w:w="35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903,950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903,950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Santiago Subotovsky</w:t>
            </w:r>
          </w:p>
        </w:tc>
        <w:tc>
          <w:tcPr>
            <w:tcW w:w="3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Bart Swanson</w:t>
            </w: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40" w:hanging="436"/>
        <w:spacing w:after="0" w:line="253"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value of the stock options granted during the fiscal year ended January 31, 2019 under our 2011 Plan, computed in accordance with Financial Accounting Standard Board Accounting Standards Codification, Topic 718, or ASC Topic 718. The assumptions used in calculating the grant date fair value of the stock options reported in this column are set forth in Note 7 to the notes to our consolidated financial statements included elsewhere in this prospectus. These amounts do not reflect the actual economic value that may be realized by the non-employee directors.</w:t>
      </w:r>
    </w:p>
    <w:p>
      <w:pPr>
        <w:spacing w:after="0" w:line="3" w:lineRule="exact"/>
        <w:rPr>
          <w:rFonts w:ascii="Arial" w:cs="Arial" w:eastAsia="Arial" w:hAnsi="Arial"/>
          <w:sz w:val="18"/>
          <w:szCs w:val="18"/>
          <w:color w:val="auto"/>
        </w:rPr>
      </w:pPr>
    </w:p>
    <w:p>
      <w:pPr>
        <w:ind w:left="640" w:hanging="436"/>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of January 31, 2019, only Mr. Chadwick, Mr. Gassner, Ms. Hammonds and Mr. Scheinman held shares underlying unvested equity awards.</w:t>
      </w:r>
    </w:p>
    <w:p>
      <w:pPr>
        <w:spacing w:after="0" w:line="32" w:lineRule="exact"/>
        <w:rPr>
          <w:rFonts w:ascii="Arial" w:cs="Arial" w:eastAsia="Arial" w:hAnsi="Arial"/>
          <w:sz w:val="16"/>
          <w:szCs w:val="16"/>
          <w:color w:val="auto"/>
        </w:rPr>
      </w:pPr>
    </w:p>
    <w:p>
      <w:pPr>
        <w:ind w:left="640" w:right="140" w:hanging="436"/>
        <w:spacing w:after="0" w:line="265" w:lineRule="auto"/>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 of January 31, 2019, Mr. Chadwick held 400,000 restricted shares of our Class B common stock, acquired pursuant to his early exercise of a stock option granted in September 2017, of which 133,333 shares had vested as of such date and 266,667 shares remain subject to our repurchase right in accordance with the option’s vesting schedule. One forty-eighth of the shares subject to the option vested on October 6, 2017, and one forty-eighth of the total shares vest monthly thereafter, subject to Mr. Chadwick’s continued service to us through each such date. Upon a change in control (as defined in the 2011 Plan), the vesting of the shares shall accelerate in full.</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Chen resigned from our board of directors on September 6, 2018.</w:t>
      </w:r>
    </w:p>
    <w:p>
      <w:pPr>
        <w:spacing w:after="0" w:line="9" w:lineRule="exact"/>
        <w:rPr>
          <w:rFonts w:ascii="Arial" w:cs="Arial" w:eastAsia="Arial" w:hAnsi="Arial"/>
          <w:sz w:val="18"/>
          <w:szCs w:val="18"/>
          <w:color w:val="auto"/>
        </w:rPr>
      </w:pPr>
    </w:p>
    <w:p>
      <w:pPr>
        <w:ind w:left="640" w:right="20" w:hanging="436"/>
        <w:spacing w:after="0" w:line="281" w:lineRule="auto"/>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of January 31, 2019, Mr. Gassner held 1,202,720 restricted shares of our Class B common stock of which 1,022,312 shares had vested as of such date and 180,408 shares remain subject to our repurchase right in accordance with the vesting schedule of the restricted stock award. The right of repurchase subject to the shares under the restricted stock award lapsed with respect to 481,088 shares as of October 28, 2015 and the right of repurchase shall lapse with respect to an additional 180,408 shares annually thereafter, subject to his continued service to us through each such date. Upon a change in control (as defined in the 2011 Plan), the vesting of the shares shall accelerate in full.</w:t>
      </w:r>
    </w:p>
    <w:p>
      <w:pPr>
        <w:spacing w:after="0" w:line="3" w:lineRule="exact"/>
        <w:rPr>
          <w:rFonts w:ascii="Arial" w:cs="Arial" w:eastAsia="Arial" w:hAnsi="Arial"/>
          <w:sz w:val="16"/>
          <w:szCs w:val="16"/>
          <w:color w:val="auto"/>
        </w:rPr>
      </w:pPr>
    </w:p>
    <w:p>
      <w:pPr>
        <w:ind w:left="640" w:right="140" w:hanging="436"/>
        <w:spacing w:after="0" w:line="265" w:lineRule="auto"/>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 of January 31, 2019, Ms. Hammonds held a stock option to purchase 150,000 shares of our Class B common stock at an exercise price per share of $3.77, which was granted in September 2018. The option vests in 48 equal monthly installments measured from September 12, 2018, subject to Ms. Hammonds’ continued service and acceleration upon a change in control (as defined in the 2011 Plan), and may be early exercised prior to vesting subject to our right to repurchase the shares that lapses in accordance with the option vesting schedule.</w:t>
      </w:r>
    </w:p>
    <w:p>
      <w:pPr>
        <w:ind w:left="640" w:right="20" w:hanging="436"/>
        <w:spacing w:after="0" w:line="273" w:lineRule="auto"/>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 of January 31, 2019, Mr. Scheinman held a stock option to purchase 100,000 shares of our Class B common stock at an exercise price per share of $10.79, which was granted in November 2018. The option vests in 48 equal monthly installments measured from November 29, 2018, subject to Mr. Scheinman’s continued service and acceleration upon a change in control (as defined in the 2011 Plan), and may be early exercised prior to vesting subject to our right to repurchase the shares that lapses in accordance with the option vesting schedule.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named executive officers for the fiscal year ended January 31, 2019 were:</w:t>
      </w:r>
    </w:p>
    <w:p>
      <w:pPr>
        <w:spacing w:after="0" w:line="131" w:lineRule="exact"/>
        <w:rPr>
          <w:sz w:val="20"/>
          <w:szCs w:val="20"/>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Eric S. Yuan, our President and Chief Executive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Janine Pelosi, our Chief Marketing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Aparna Bawa, our Secretary and General Counsel;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Gregory Holmes, our former Head of Worldwide Sales.</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Ms. Bawa commenced employment with us on September 5, 2018. As of January 15, 2019, Mr. Holmes is no longer our Head of Worldwide Sales or one of our executive officers, and has transitioned to a corporate strategy role with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years ended January 31, 2019 and January 31, 2018, in the case of Mr. Yuan and Mr. Holmes, who were also named executive officers for the fiscal year ended January 31,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rPr>
              <w:t>Non-Equity</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7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37"/>
              <w:spacing w:after="0" w:line="15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280" w:type="dxa"/>
            <w:vAlign w:val="bottom"/>
          </w:tcPr>
          <w:p>
            <w:pPr>
              <w:spacing w:after="0"/>
              <w:rPr>
                <w:sz w:val="13"/>
                <w:szCs w:val="13"/>
                <w:color w:val="auto"/>
              </w:rPr>
            </w:pPr>
          </w:p>
        </w:tc>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(2)</w:t>
            </w:r>
          </w:p>
        </w:tc>
        <w:tc>
          <w:tcPr>
            <w:tcW w:w="280" w:type="dxa"/>
            <w:vAlign w:val="bottom"/>
          </w:tcPr>
          <w:p>
            <w:pPr>
              <w:spacing w:after="0"/>
              <w:rPr>
                <w:sz w:val="13"/>
                <w:szCs w:val="13"/>
                <w:color w:val="auto"/>
              </w:rPr>
            </w:pP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Eric S. Yuan, </w:t>
            </w:r>
            <w:r>
              <w:rPr>
                <w:rFonts w:ascii="Arial" w:cs="Arial" w:eastAsia="Arial" w:hAnsi="Arial"/>
                <w:sz w:val="18"/>
                <w:szCs w:val="18"/>
                <w:i w:val="1"/>
                <w:iCs w:val="1"/>
                <w:color w:val="auto"/>
              </w:rPr>
              <w:t>President and Chief Executive Officer</w:t>
            </w: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$ 300,000</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$ 4,374,307</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4,674,307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$ 300,000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8,636,599</w:t>
            </w:r>
            <w:r>
              <w:rPr>
                <w:rFonts w:ascii="Arial" w:cs="Arial" w:eastAsia="Arial" w:hAnsi="Arial"/>
                <w:sz w:val="15"/>
                <w:szCs w:val="15"/>
                <w:color w:val="auto"/>
                <w:w w:val="93"/>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8,936,599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Janine Pelosi, </w:t>
            </w:r>
            <w:r>
              <w:rPr>
                <w:rFonts w:ascii="Arial" w:cs="Arial" w:eastAsia="Arial" w:hAnsi="Arial"/>
                <w:sz w:val="18"/>
                <w:szCs w:val="18"/>
                <w:i w:val="1"/>
                <w:iCs w:val="1"/>
                <w:color w:val="auto"/>
              </w:rPr>
              <w:t>Chief Marketing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$ 224,167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$ 3,241,215</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3,517,882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 xml:space="preserve">Aparna Bawa, </w:t>
            </w:r>
            <w:r>
              <w:rPr>
                <w:rFonts w:ascii="Arial" w:cs="Arial" w:eastAsia="Arial" w:hAnsi="Arial"/>
                <w:sz w:val="18"/>
                <w:szCs w:val="18"/>
                <w:i w:val="1"/>
                <w:iCs w:val="1"/>
                <w:color w:val="auto"/>
              </w:rPr>
              <w:t>Secretary and General Counsel</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$ 102,083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$ 2,602,923</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32,083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2,737,089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Gregory Holmes, </w:t>
            </w:r>
            <w:r>
              <w:rPr>
                <w:rFonts w:ascii="Arial" w:cs="Arial" w:eastAsia="Arial" w:hAnsi="Arial"/>
                <w:sz w:val="18"/>
                <w:szCs w:val="18"/>
                <w:i w:val="1"/>
                <w:iCs w:val="1"/>
                <w:color w:val="auto"/>
              </w:rPr>
              <w:t>former Head of Worldwide Sales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$ 226,667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$ 2,624,520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3,220,127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$ 192,083</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484,243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676,326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80" w:hanging="436"/>
        <w:spacing w:after="0" w:line="269"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stock options granted under our 2011 Plan during the indicated fiscal year computed in accordance with ASC Topic 718. The assumptions used in calculating the grant date fair value of the stock options during fiscal year 2019 are set forth in the notes to our audited consolidated financial statements included elsewhere in this prospectus. These amounts do not reflect the actual economic value that may be realized by the named executive officers.</w:t>
      </w:r>
    </w:p>
    <w:p>
      <w:pPr>
        <w:spacing w:after="0" w:line="2" w:lineRule="exact"/>
        <w:rPr>
          <w:rFonts w:ascii="Arial" w:cs="Arial" w:eastAsia="Arial" w:hAnsi="Arial"/>
          <w:sz w:val="17"/>
          <w:szCs w:val="17"/>
          <w:color w:val="auto"/>
        </w:rPr>
      </w:pPr>
    </w:p>
    <w:p>
      <w:pPr>
        <w:ind w:left="640" w:right="240" w:hanging="436"/>
        <w:spacing w:after="0" w:line="250"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disclosed represent the applicable named executive officer’s total performance bonus earned for the fiscal years ended January 31, 2018 and January 31, 2019 as described below under “—Performance-Based Bonus Opportunity.”</w:t>
      </w:r>
    </w:p>
    <w:p>
      <w:pPr>
        <w:ind w:left="640" w:right="40" w:hanging="436"/>
        <w:spacing w:after="0" w:line="252"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disclosed represents the stock-based compensation cost, computed in accordance with ASC Topic 718, attributed to Mr. Yuan’s sale of 2,899,136 shares of our common stock to Digital Mobile Venture Ltd., an existing investor in our company, in May 2017. The amount disclosed above is calculated for purposes of financial accounting purposes under U.S. GAAP. The assumptions used in calculating the amount are included in Note 7 to our audited consolidated financial statements included elsewhere in this prospectus. The transfer was not intended to be compensation paid by us to Mr. Yuan and is described in the section titled “Certain Relationships and Related Party Transactions—Common Stock Transfer Agreement.”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Base Salary</w:t>
      </w:r>
    </w:p>
    <w:p>
      <w:pPr>
        <w:spacing w:after="0" w:line="121" w:lineRule="exact"/>
        <w:rPr>
          <w:sz w:val="20"/>
          <w:szCs w:val="20"/>
          <w:color w:val="auto"/>
        </w:rPr>
      </w:pPr>
    </w:p>
    <w:p>
      <w:pPr>
        <w:ind w:left="200" w:right="720" w:firstLine="441"/>
        <w:spacing w:after="0" w:line="342" w:lineRule="auto"/>
        <w:rPr>
          <w:sz w:val="20"/>
          <w:szCs w:val="20"/>
          <w:color w:val="auto"/>
        </w:rPr>
      </w:pPr>
      <w:r>
        <w:rPr>
          <w:rFonts w:ascii="Arial" w:cs="Arial" w:eastAsia="Arial" w:hAnsi="Arial"/>
          <w:sz w:val="16"/>
          <w:szCs w:val="16"/>
          <w:color w:val="auto"/>
        </w:rPr>
        <w:t>The compensation of our named executive officers is generally determined and approved by the compensation committee of our board of directors. The base salaries of each of our executive officers for the fiscal year ended January 31, 2019 are listed in the table below.</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5580" w:type="dxa"/>
            <w:vAlign w:val="bottom"/>
            <w:gridSpan w:val="4"/>
          </w:tcPr>
          <w:p>
            <w:pPr>
              <w:ind w:left="4240"/>
              <w:spacing w:after="0" w:line="158" w:lineRule="exact"/>
              <w:rPr>
                <w:sz w:val="20"/>
                <w:szCs w:val="20"/>
                <w:color w:val="auto"/>
              </w:rPr>
            </w:pPr>
            <w:r>
              <w:rPr>
                <w:rFonts w:ascii="Arial" w:cs="Arial" w:eastAsia="Arial" w:hAnsi="Arial"/>
                <w:sz w:val="14"/>
                <w:szCs w:val="14"/>
                <w:b w:val="1"/>
                <w:bCs w:val="1"/>
                <w:color w:val="auto"/>
              </w:rPr>
              <w:t>2018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Eric S. Yuan</w:t>
            </w:r>
          </w:p>
        </w:tc>
        <w:tc>
          <w:tcPr>
            <w:tcW w:w="4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w w:val="89"/>
              </w:rPr>
              <w:t>300,000</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Janine Pelosi</w:t>
            </w:r>
          </w:p>
        </w:tc>
        <w:tc>
          <w:tcPr>
            <w:tcW w:w="4380" w:type="dxa"/>
            <w:vAlign w:val="bottom"/>
            <w:gridSpan w:val="2"/>
          </w:tcPr>
          <w:p>
            <w:pPr>
              <w:ind w:left="4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w w:val="98"/>
              </w:rPr>
              <w:t>250,000</w:t>
            </w:r>
            <w:r>
              <w:rPr>
                <w:rFonts w:ascii="Arial" w:cs="Arial" w:eastAsia="Arial" w:hAnsi="Arial"/>
                <w:sz w:val="15"/>
                <w:szCs w:val="15"/>
                <w:color w:val="auto"/>
                <w:w w:val="98"/>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438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250,000</w:t>
            </w:r>
            <w:r>
              <w:rPr>
                <w:rFonts w:ascii="Arial" w:cs="Arial" w:eastAsia="Arial" w:hAnsi="Arial"/>
                <w:sz w:val="15"/>
                <w:szCs w:val="15"/>
                <w:color w:val="auto"/>
                <w:w w:val="98"/>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Gregory Holmes</w:t>
            </w:r>
          </w:p>
        </w:tc>
        <w:tc>
          <w:tcPr>
            <w:tcW w:w="4380" w:type="dxa"/>
            <w:vAlign w:val="bottom"/>
            <w:gridSpan w:val="2"/>
          </w:tcPr>
          <w:p>
            <w:pPr>
              <w:ind w:left="4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w w:val="98"/>
              </w:rPr>
              <w:t>250,000</w:t>
            </w:r>
            <w:r>
              <w:rPr>
                <w:rFonts w:ascii="Arial" w:cs="Arial" w:eastAsia="Arial" w:hAnsi="Arial"/>
                <w:sz w:val="15"/>
                <w:szCs w:val="15"/>
                <w:color w:val="auto"/>
                <w:w w:val="98"/>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020" w:hanging="436"/>
        <w:spacing w:after="0" w:line="258"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Ms. Pelosi’s base salary rate was effective as of October 1, 2018. Ms. Pelosi’s base salary rate was $215,000 from April 1, 2018 until September 30, 2018 and was $200,000 from February 1, 2018 until March 31,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Ms. Bawa’s base salary rate was effective as of September 5, 2018 upon commencement of her employment.</w:t>
      </w:r>
    </w:p>
    <w:p>
      <w:pPr>
        <w:spacing w:after="0" w:line="9" w:lineRule="exact"/>
        <w:rPr>
          <w:rFonts w:ascii="Arial" w:cs="Arial" w:eastAsia="Arial" w:hAnsi="Arial"/>
          <w:sz w:val="18"/>
          <w:szCs w:val="18"/>
          <w:color w:val="auto"/>
        </w:rPr>
      </w:pPr>
    </w:p>
    <w:p>
      <w:pPr>
        <w:ind w:left="640" w:right="440" w:hanging="436"/>
        <w:spacing w:after="0" w:line="290"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Mr. Holmes’ base salary rate was effective as of October 1, 2018. Mr. Holmes’ base salary rate was $215,000 from February 1, 2018 through September 30, 2018. As of January 15, 2019, Mr. Holmes is no longer our Head of Worldwide Sales or an executive officer.</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Performance-Based Bonus Opportunity</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addition to base salaries, our executive officers other than Mr. Yuan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or compensation committee establishes and is paid quarterly.</w:t>
      </w:r>
    </w:p>
    <w:p>
      <w:pPr>
        <w:spacing w:after="0" w:line="17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For the fiscal year ended January 31, 2019, Ms. Pelosi was eligible to receive a bonus at an annual target of approximately 20% of her fiscal base salary, Ms. Bawa was eligible to receive a bonus at an annual target of 35% of her base salary and Mr. Holmes was eligible to receive a bonus at an annual target of approximately 100% of his base salary. Our corporate performance objectives for the fiscal year ended January 31, 2019 related to achievement of monthly recurring revenue targets and, with respect to Mr. Holmes, sales targets under our sales commission program. Ms. Pelosi, Ms. Bawa and Mr. Holmes earned bonuses for the fiscal year ended January 31, 2019 performance based on our achievement of the relevant performance targets for each executive. Ms. Bawa’s earned bonus amount was prorated for the period of time she was employed during the fiscal year ended January 31, 2019. All bonuses for the fiscal year ended January 31, 2019 were paid in cash.</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Equity-Based Incentive Awards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Prior to this offering, we have granted stock options to each of our named executive officers pursuant to the 2011 Plan, the terms of which are described below under “—Equity Incentive Plans.” All options are granted with a per share exercise price equal to no less than the fair market value of a share of our common stock on the date of the grant of such award.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September 2018, our compensation committee granted options to purchase 500,000 shares to Mr. Yuan, 450,000 shares to Ms. Pelosi, 360,000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to Ms. Bawa and 300,000 shares to Mr. Holmes. Each of the options have an exercise price per share of $3.77, except that 132,585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Yuan’s option have an exercise price per share of $4.15 in order to comply with tax rules governing options intended to be “incentive stock options.”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shares subject to each of the September 2018 options vest in 48 equal monthly installments measured from the grant date, subject to the executive’s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continuous service with us as of each such vesting date. Ms. Bawa’s option grant permits early exercise, whereby Ms. Bawa may purchase shares prior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vesting, subject to our right to repurchase such shares, lapsing over time in accordance with the vesting schedule of the stock option.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Ms. Bawa exercised her option in full in September 2018. In October 2018, our compensation committee amended Mr. Yuan’s September 2018 option (to the extent of 367,415 shares thereunder that did not pertain to the “incentive stock option” portion of his grant) to also permit early exercise, whereby Mr. Yuan could purchase shares prior to vesting, subject to our right to repurchase such shares, lapsing over time in accordance with the vesting schedule of the stock option.</w:t>
      </w:r>
    </w:p>
    <w:p>
      <w:pPr>
        <w:spacing w:after="0" w:line="18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Each of our named executive officer’s option grants are additionally subject to potential vesting acceleration as described below under “— Agreements with our Named Executive Officers.”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2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i w:val="1"/>
          <w:iCs w:val="1"/>
          <w:color w:val="auto"/>
        </w:rPr>
        <w:t xml:space="preserve">Eric S. Yuan. </w:t>
      </w:r>
      <w:r>
        <w:rPr>
          <w:rFonts w:ascii="Arial" w:cs="Arial" w:eastAsia="Arial" w:hAnsi="Arial"/>
          <w:sz w:val="18"/>
          <w:szCs w:val="18"/>
          <w:color w:val="auto"/>
        </w:rPr>
        <w:t>In December 2018, we entered into a confirmatory offer letter with Mr. Yuan. The confirmatory offer letter has no specific term,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at-will employment and reflects Mr. Yuan’s current annual base salary of $300,000 and “double trigger” severance benefits upon an involuntary termination in connection with a change in control, as described below under “—Potential Payments upon Termination or Change in Control.”</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Janine Pelosi</w:t>
      </w:r>
      <w:r>
        <w:rPr>
          <w:rFonts w:ascii="Arial" w:cs="Arial" w:eastAsia="Arial" w:hAnsi="Arial"/>
          <w:sz w:val="18"/>
          <w:szCs w:val="18"/>
          <w:color w:val="auto"/>
        </w:rPr>
        <w:t>. We entered into an initial letter agreement with Ms. Pelosi in February 2015 that provided for her at-will employment, initial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performance bonus opportunity and the terms of her initial stock option, which was granted in April 2015. In December 2018, we entered into a confirmatory offer letter with Ms. Pelosi. The confirmatory offer letter has no specific term, provides for at-will employment and reflects Ms. Pelosi’s current annual base salary of $250,000, target bonus opportunity per year of 20% of her annual base salary and “double trigger” severance benefits upon an involuntary termination in connection with a change in control, as described below under “—Potential Payments upon Termination or Change in Control.”</w:t>
      </w:r>
    </w:p>
    <w:p>
      <w:pPr>
        <w:spacing w:after="0" w:line="19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i w:val="1"/>
          <w:iCs w:val="1"/>
          <w:color w:val="auto"/>
        </w:rPr>
        <w:t xml:space="preserve">Aparna Bawa. </w:t>
      </w:r>
      <w:r>
        <w:rPr>
          <w:rFonts w:ascii="Arial" w:cs="Arial" w:eastAsia="Arial" w:hAnsi="Arial"/>
          <w:sz w:val="18"/>
          <w:szCs w:val="18"/>
          <w:color w:val="auto"/>
        </w:rPr>
        <w:t>We entered into an initial letter agreement with Ms. Bawa in August 2018 that provided for her at-will employment, initial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performance bonus opportunity and the terms of her initial stock option which was granted in September 2018. In December 2018, we entered into a confirmatory offer letter with Ms. Bawa. The confirmatory offer letter has no specific term, provides for at-will employment and reflects Ms. Bawa’s current annual base salary of $250,000, target bonus opportunity per year of 35% of her annual base salary and “double trigger” severance benefits upon an involuntary termination in connection with a change in control, as described below under “—Potential Payments upon Termination or Change in Control.”</w:t>
      </w:r>
    </w:p>
    <w:p>
      <w:pPr>
        <w:spacing w:after="0" w:line="19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auto"/>
        </w:rPr>
        <w:t>Gregory Holmes</w:t>
      </w:r>
      <w:r>
        <w:rPr>
          <w:rFonts w:ascii="Arial" w:cs="Arial" w:eastAsia="Arial" w:hAnsi="Arial"/>
          <w:sz w:val="17"/>
          <w:szCs w:val="17"/>
          <w:color w:val="auto"/>
        </w:rPr>
        <w:t>. We entered into an offer letter agreement with Mr. Holmes in December 2012 that provided for his at-will employment,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annual base salary, commission-based performance bonus opportunity and the terms of his initial stock option that was granted in January 2014, which Mr. Holmes has exercised. In December 2018, we entered into a confirmatory offer letter with Mr. Holmes. The confirmatory offer letter has no specific term, provides for at-will employment and reflects Mr. Holmes’ current annual base salary of $250,000, target bonus opportunity per year of 100% of his annual base salary and “double trigger” severance benefits upon an involuntary termination in connection with a change in control, as described below under “—Potential Payments upon Termination or Change in Control.” Mr. Holmes is no longer our Head of Worldwide Sales or one of our executive officers, and has transitioned to a corporate strategy role with 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Each of our named executive officers is eligible for severance benefits in the form of a payment equal to six months of base salary, accelerated vesting of all outstanding equity awards and payment of up to six months of COBRA premiums, upon an involuntary termination within the 12 months following a change in control (as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defined in the confirmatory offer letter), pursuant to the confirmatory offer letters described above under “—Agreements with Our Named Executive Officers.” An involuntary termination for purposes of the severance benefits generally means a termination by us other than for death, disability or cause (as defined in the confirmatory offer letter) or a resignation for good reason (as defined in the confirmatory offer letter). In addition, each of our named executive officers’ stock options are subject to the terms of the 2011 Plan and form of share option agreement thereunder. A description of the termination and change in control provisions in the 2011 Plan and stock options granted thereunder is provided below under “—Equity Incentive Plans.”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outstanding equity incentive plan awards held by each named executive officer as of January 31, 2019.</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Option Awards</w:t>
            </w:r>
            <w:r>
              <w:rPr>
                <w:rFonts w:ascii="Arial" w:cs="Arial" w:eastAsia="Arial" w:hAnsi="Arial"/>
                <w:sz w:val="12"/>
                <w:szCs w:val="12"/>
                <w:b w:val="1"/>
                <w:bCs w:val="1"/>
                <w:color w:val="auto"/>
                <w:w w:val="96"/>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48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980" w:type="dxa"/>
            <w:vAlign w:val="bottom"/>
            <w:tcBorders>
              <w:top w:val="single" w:sz="8" w:color="auto"/>
            </w:tcBorders>
            <w:gridSpan w:val="2"/>
          </w:tcPr>
          <w:p>
            <w:pPr>
              <w:jc w:val="center"/>
              <w:ind w:left="42"/>
              <w:spacing w:after="0" w:line="119" w:lineRule="exact"/>
              <w:rPr>
                <w:sz w:val="20"/>
                <w:szCs w:val="20"/>
                <w:color w:val="auto"/>
              </w:rPr>
            </w:pPr>
            <w:r>
              <w:rPr>
                <w:rFonts w:ascii="Arial" w:cs="Arial" w:eastAsia="Arial" w:hAnsi="Arial"/>
                <w:sz w:val="13"/>
                <w:szCs w:val="13"/>
                <w:b w:val="1"/>
                <w:bCs w:val="1"/>
                <w:color w:val="auto"/>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shares or</w:t>
            </w:r>
          </w:p>
        </w:tc>
        <w:tc>
          <w:tcPr>
            <w:tcW w:w="1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4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Exercise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units of</w:t>
            </w:r>
          </w:p>
        </w:tc>
        <w:tc>
          <w:tcPr>
            <w:tcW w:w="1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left="5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stock that</w:t>
            </w:r>
          </w:p>
        </w:tc>
        <w:tc>
          <w:tcPr>
            <w:tcW w:w="1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stock that</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83"/>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have not</w:t>
            </w:r>
          </w:p>
        </w:tc>
        <w:tc>
          <w:tcPr>
            <w:tcW w:w="1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have not</w:t>
            </w:r>
          </w:p>
        </w:tc>
        <w:tc>
          <w:tcPr>
            <w:tcW w:w="0" w:type="dxa"/>
            <w:vAlign w:val="bottom"/>
          </w:tcPr>
          <w:p>
            <w:pPr>
              <w:spacing w:after="0"/>
              <w:rPr>
                <w:sz w:val="1"/>
                <w:szCs w:val="1"/>
                <w:color w:val="auto"/>
              </w:rPr>
            </w:pPr>
          </w:p>
        </w:tc>
      </w:tr>
      <w:tr>
        <w:trPr>
          <w:trHeight w:val="158"/>
        </w:trPr>
        <w:tc>
          <w:tcPr>
            <w:tcW w:w="35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4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40" w:type="dxa"/>
            <w:vAlign w:val="bottom"/>
          </w:tcPr>
          <w:p>
            <w:pPr>
              <w:spacing w:after="0"/>
              <w:rPr>
                <w:sz w:val="13"/>
                <w:szCs w:val="13"/>
                <w:color w:val="auto"/>
              </w:rPr>
            </w:pP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(2)</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3"/>
                <w:szCs w:val="13"/>
                <w:color w:val="auto"/>
              </w:rPr>
            </w:pPr>
          </w:p>
        </w:tc>
        <w:tc>
          <w:tcPr>
            <w:tcW w:w="9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5"/>
              </w:rPr>
              <w:t>vested</w:t>
            </w:r>
          </w:p>
        </w:tc>
        <w:tc>
          <w:tcPr>
            <w:tcW w:w="140" w:type="dxa"/>
            <w:vAlign w:val="bottom"/>
          </w:tcPr>
          <w:p>
            <w:pPr>
              <w:spacing w:after="0"/>
              <w:rPr>
                <w:sz w:val="13"/>
                <w:szCs w:val="13"/>
                <w:color w:val="auto"/>
              </w:rPr>
            </w:pPr>
          </w:p>
        </w:tc>
        <w:tc>
          <w:tcPr>
            <w:tcW w:w="9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Eric S. Yuan</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9/24/2018</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87"/>
              </w:rPr>
              <w:t>(3)</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28,730</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103,855</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9/24/2023</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97"/>
              </w:rPr>
              <w:t>9/24/2018</w:t>
            </w:r>
            <w:r>
              <w:rPr>
                <w:rFonts w:ascii="Arial" w:cs="Arial" w:eastAsia="Arial" w:hAnsi="Arial"/>
                <w:sz w:val="15"/>
                <w:szCs w:val="15"/>
                <w:color w:val="auto"/>
                <w:w w:val="97"/>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367,415</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9/24/2028</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Janine Pelosi</w:t>
            </w:r>
          </w:p>
        </w:tc>
        <w:tc>
          <w:tcPr>
            <w:tcW w:w="100" w:type="dxa"/>
            <w:vAlign w:val="bottom"/>
          </w:tcPr>
          <w:p>
            <w:pPr>
              <w:spacing w:after="0"/>
              <w:rPr>
                <w:sz w:val="17"/>
                <w:szCs w:val="17"/>
                <w:color w:val="auto"/>
              </w:rPr>
            </w:pPr>
          </w:p>
        </w:tc>
        <w:tc>
          <w:tcPr>
            <w:tcW w:w="1100" w:type="dxa"/>
            <w:vAlign w:val="bottom"/>
            <w:gridSpan w:val="2"/>
          </w:tcPr>
          <w:p>
            <w:pPr>
              <w:jc w:val="right"/>
              <w:ind w:right="43"/>
              <w:spacing w:after="0" w:line="201" w:lineRule="exact"/>
              <w:rPr>
                <w:sz w:val="20"/>
                <w:szCs w:val="20"/>
                <w:color w:val="auto"/>
              </w:rPr>
            </w:pPr>
            <w:r>
              <w:rPr>
                <w:rFonts w:ascii="Arial" w:cs="Arial" w:eastAsia="Arial" w:hAnsi="Arial"/>
                <w:sz w:val="18"/>
                <w:szCs w:val="18"/>
                <w:color w:val="auto"/>
                <w:w w:val="97"/>
              </w:rPr>
              <w:t>4/24/2015</w:t>
            </w:r>
            <w:r>
              <w:rPr>
                <w:rFonts w:ascii="Arial" w:cs="Arial" w:eastAsia="Arial" w:hAnsi="Arial"/>
                <w:sz w:val="15"/>
                <w:szCs w:val="15"/>
                <w:color w:val="auto"/>
                <w:w w:val="97"/>
              </w:rPr>
              <w:t>(5)</w:t>
            </w: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50,000</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16,667</w:t>
            </w:r>
          </w:p>
        </w:tc>
        <w:tc>
          <w:tcPr>
            <w:tcW w:w="300" w:type="dxa"/>
            <w:vAlign w:val="bottom"/>
          </w:tcPr>
          <w:p>
            <w:pPr>
              <w:spacing w:after="0"/>
              <w:rPr>
                <w:sz w:val="17"/>
                <w:szCs w:val="17"/>
                <w:color w:val="auto"/>
              </w:rPr>
            </w:pPr>
          </w:p>
        </w:tc>
        <w:tc>
          <w:tcPr>
            <w:tcW w:w="24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0.14</w:t>
            </w:r>
          </w:p>
        </w:tc>
        <w:tc>
          <w:tcPr>
            <w:tcW w:w="2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4/24/2025</w:t>
            </w:r>
          </w:p>
        </w:tc>
        <w:tc>
          <w:tcPr>
            <w:tcW w:w="160" w:type="dxa"/>
            <w:vAlign w:val="bottom"/>
          </w:tcPr>
          <w:p>
            <w:pPr>
              <w:spacing w:after="0"/>
              <w:rPr>
                <w:sz w:val="17"/>
                <w:szCs w:val="17"/>
                <w:color w:val="auto"/>
              </w:rPr>
            </w:pPr>
          </w:p>
        </w:tc>
        <w:tc>
          <w:tcPr>
            <w:tcW w:w="9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0" w:type="dxa"/>
            <w:vAlign w:val="bottom"/>
            <w:gridSpan w:val="3"/>
          </w:tcPr>
          <w:p>
            <w:pPr>
              <w:jc w:val="right"/>
              <w:ind w:right="43"/>
              <w:spacing w:after="0"/>
              <w:rPr>
                <w:sz w:val="20"/>
                <w:szCs w:val="20"/>
                <w:color w:val="auto"/>
              </w:rPr>
            </w:pPr>
            <w:r>
              <w:rPr>
                <w:rFonts w:ascii="Arial" w:cs="Arial" w:eastAsia="Arial" w:hAnsi="Arial"/>
                <w:sz w:val="18"/>
                <w:szCs w:val="18"/>
                <w:color w:val="auto"/>
              </w:rPr>
              <w:t>9/6/2018</w:t>
            </w:r>
            <w:r>
              <w:rPr>
                <w:rFonts w:ascii="Arial" w:cs="Arial" w:eastAsia="Arial" w:hAnsi="Arial"/>
                <w:sz w:val="15"/>
                <w:szCs w:val="15"/>
                <w:color w:val="auto"/>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393,750</w:t>
            </w:r>
          </w:p>
        </w:tc>
        <w:tc>
          <w:tcPr>
            <w:tcW w:w="30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9/6/2028</w:t>
            </w: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360,000</w:t>
            </w:r>
            <w:r>
              <w:rPr>
                <w:rFonts w:ascii="Arial" w:cs="Arial" w:eastAsia="Arial" w:hAnsi="Arial"/>
                <w:sz w:val="15"/>
                <w:szCs w:val="15"/>
                <w:color w:val="auto"/>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Gregory Holmes</w:t>
            </w: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11/3/2016</w:t>
            </w:r>
          </w:p>
        </w:tc>
        <w:tc>
          <w:tcPr>
            <w:tcW w:w="300" w:type="dxa"/>
            <w:vAlign w:val="bottom"/>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80,000</w:t>
            </w:r>
          </w:p>
        </w:tc>
        <w:tc>
          <w:tcPr>
            <w:tcW w:w="144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220,000</w:t>
            </w:r>
            <w:r>
              <w:rPr>
                <w:rFonts w:ascii="Arial" w:cs="Arial" w:eastAsia="Arial" w:hAnsi="Arial"/>
                <w:sz w:val="15"/>
                <w:szCs w:val="15"/>
                <w:color w:val="auto"/>
              </w:rPr>
              <w:t>(8)</w:t>
            </w:r>
          </w:p>
        </w:tc>
        <w:tc>
          <w:tcPr>
            <w:tcW w:w="24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0.30</w:t>
            </w:r>
          </w:p>
        </w:tc>
        <w:tc>
          <w:tcPr>
            <w:tcW w:w="2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11/3/2026</w:t>
            </w:r>
          </w:p>
        </w:tc>
        <w:tc>
          <w:tcPr>
            <w:tcW w:w="160" w:type="dxa"/>
            <w:vAlign w:val="bottom"/>
          </w:tcPr>
          <w:p>
            <w:pPr>
              <w:spacing w:after="0"/>
              <w:rPr>
                <w:sz w:val="17"/>
                <w:szCs w:val="17"/>
                <w:color w:val="auto"/>
              </w:rPr>
            </w:pPr>
          </w:p>
        </w:tc>
        <w:tc>
          <w:tcPr>
            <w:tcW w:w="9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9/24/2018</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275,000</w:t>
            </w:r>
            <w:r>
              <w:rPr>
                <w:rFonts w:ascii="Arial" w:cs="Arial" w:eastAsia="Arial" w:hAnsi="Arial"/>
                <w:sz w:val="15"/>
                <w:szCs w:val="15"/>
                <w:color w:val="auto"/>
              </w:rPr>
              <w:t>(9)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9/24/2028</w:t>
            </w: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40" w:hanging="436"/>
        <w:spacing w:after="0" w:line="258"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of the stock and option awards were granted under the 2011 Plan, the terms of which plan is described below under “—Equity Incentive Plans.”</w:t>
      </w:r>
    </w:p>
    <w:p>
      <w:pPr>
        <w:spacing w:after="0" w:line="1" w:lineRule="exact"/>
        <w:rPr>
          <w:rFonts w:ascii="Arial" w:cs="Arial" w:eastAsia="Arial" w:hAnsi="Arial"/>
          <w:sz w:val="18"/>
          <w:szCs w:val="18"/>
          <w:color w:val="auto"/>
        </w:rPr>
      </w:pPr>
    </w:p>
    <w:p>
      <w:pPr>
        <w:jc w:val="both"/>
        <w:ind w:left="640" w:right="140" w:hanging="436"/>
        <w:spacing w:after="0" w:line="265"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of the option awards were granted with a per share exercise price equal to the fair market value of one share of our common stock on the date of grant, as determined in good faith by our board of directors or compensation committee, except that Mr. Yuan’s stock option covering 132,585 shares was granted with an exercise price per share equal to 110% of the fair market value of one share of our common stock on the date of grant in order to comply with tax rules governing options intended to be “incentive stock options.”</w:t>
      </w:r>
    </w:p>
    <w:p>
      <w:pPr>
        <w:ind w:left="640" w:right="140" w:hanging="436"/>
        <w:spacing w:after="0" w:line="250"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 w:lineRule="exact"/>
        <w:rPr>
          <w:rFonts w:ascii="Arial" w:cs="Arial" w:eastAsia="Arial" w:hAnsi="Arial"/>
          <w:sz w:val="18"/>
          <w:szCs w:val="18"/>
          <w:color w:val="auto"/>
        </w:rPr>
      </w:pPr>
    </w:p>
    <w:p>
      <w:pPr>
        <w:ind w:left="640" w:right="40" w:hanging="436"/>
        <w:spacing w:after="0" w:line="265"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shares subject to the option vest in monthly installments, subject to Mr. Yuan’s continuous service with us as of each such vesting date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1" w:lineRule="exact"/>
        <w:rPr>
          <w:rFonts w:ascii="Arial" w:cs="Arial" w:eastAsia="Arial" w:hAnsi="Arial"/>
          <w:sz w:val="17"/>
          <w:szCs w:val="17"/>
          <w:color w:val="auto"/>
        </w:rPr>
      </w:pPr>
    </w:p>
    <w:p>
      <w:pPr>
        <w:ind w:left="640" w:right="240" w:hanging="436"/>
        <w:spacing w:after="0" w:line="290"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One-fourth of the shares subject to the option vested on March 16, 2016 and the remaining shares subject to the option vest in 36 equal monthly installments measured from March 16, 2016, subject to Ms. Pelosi’s continuous service with us as of each such vesting date.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hanging="436"/>
        <w:spacing w:after="0" w:line="258"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July 11, 2018, subject to Ms. Pelosi’s continuous service with us as of each such vesting date.</w:t>
      </w:r>
    </w:p>
    <w:p>
      <w:pPr>
        <w:spacing w:after="0" w:line="1"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shares were purchased by Ms. Bawa at $3.77 per share in September 2018 and are subject to our right of repurchase upon Ms. Bawa’s termination of service with us which lapses over time in accordance with the following vesting schedule: one-fourth of the shares will vest on September 5, 2019 and the remaining shares will vest in 36 equal monthly installments measured from September 5, 2019, subject to Ms. Bawa’s continuous service with us as of each such vesting date.</w:t>
      </w:r>
    </w:p>
    <w:p>
      <w:pPr>
        <w:spacing w:after="0" w:line="1"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November 3, 2016, subject to Mr. Holmes’ continuous service with us as of each such vesting date.</w:t>
      </w:r>
    </w:p>
    <w:p>
      <w:pPr>
        <w:ind w:left="640" w:right="80" w:hanging="436"/>
        <w:spacing w:after="0" w:line="261"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installments measured from September 24, 2018, subject to Mr. Holmes’ continuous service with us as of each such vesting date.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Compensation and Benefits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8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7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the fiscal year ended January 31, 2019. Our board of directors may elect to provide our officers and other employees with nonqualified defined contribution or other nonqualified deferred compensation benefits in the future if it determines that doing so is in our best interests.</w:t>
      </w:r>
    </w:p>
    <w:p>
      <w:pPr>
        <w:spacing w:after="0" w:line="166"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the fiscal year ended January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Additionally, we voluntarily adopted an incentive compensation recoupment, or “clawback”, policy that will become effective on the date of the underwriting agreement related to this offering, ahead of final guidance by the SEC regarding the claw back rules that will be required under the Dodd-Frank Wall Street Reform and Consumer Protection Act. Under our clawback policy, if an officer’s misconduct contributed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during the 12 month period preceding the restatement obligation as noted above. Our board of directors has the authority and discretion to determine whether an event covered by our clawback policy has occurred and, depending on the facts and circumstances, may (but need not) require full or partial forfeiture and/or prepayment of the incentive compensation described above. Additionally, we intend to comply with the Dodd-Frank Wall Street Reform and Consumer Protection Act and will modify our clawback policy to the extent required by law as soon as, and to the extent that, the requirements of such clawbacks are finalized by the SEC.</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Fourth Amended and Restated 2011 Global Share Plan</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Our board of directors adopted our 2011 Plan in April 2011, and our stockholders approved the 2011 Plan in June 2011. The 2011 Plan has been periodically amended, most recently in September 2017. As of January 31, 2019, there were 1,848,100 shares of Class B common stock remaining available for the future grant of stock awards under our 2011 Plan. As of January 31, 2019, stock options covering 35,064,465 shares of our Class B common stock were outstanding and restricted shares covering 1,441,638 shares of Class B common stock were outstanding and subject to vesting and our repurchase right under the 2011 Plan. We expect that any shares of Class B common stock remaining available for issuance under the 2011 Plan at the time of this offering will become available for issuance for a corresponding number of shares of our Class A common stock under the 2019 Plan.</w:t>
      </w:r>
    </w:p>
    <w:p>
      <w:pPr>
        <w:spacing w:after="0" w:line="165"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Our 2011 Plan provides for the grant of incentive stock options (ISOs) within the meaning of Section 422 of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(Code) to our employees or certain of our subsidiary companies, and for the grant of nonstatutory stock options (NSOs) and restricted shares to such employees, our directors and to consultants engaged by us or any of our subsidiary companies. The 2011 Plan further provides for the grant of options and restricted shares to service providers who are not U.S. persons and certain types of trusts for the benefit of service providers, subject to certain restrictions.</w:t>
      </w:r>
    </w:p>
    <w:p>
      <w:pPr>
        <w:spacing w:after="0" w:line="18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Subject to certain capitalization adjustments, the aggregate number of shares of Class B common stock that may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stock awards under the 2011 Plan will not exceed 71,240,000 shares.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Shares subject to stock awards granted under our 2011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2011 Plan, shall revert to and again become available for issuance under the 2011 Plan (unless the 2011 Plan has terminated). This includes shares that are reacquired pursuant to any forfeiture provision, right of repurchase or redemption or shares that are used to satisfy the exercise or purchase price for the award or any tax withholding obligations related to an award.</w:t>
      </w:r>
    </w:p>
    <w:p>
      <w:pPr>
        <w:spacing w:after="0" w:line="17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administers and interprets the provisions of the 2011 Plan. The board of directors may delegate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a committee of the board and has delegated authority to the compensation committee of the board, referred to as the “plan administrator.” The plan administrator may additionally delegate limited authority to specified officers to execute any instrument required to effect an award previously granted by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 Plan, and accelerate the vesting of awards.</w:t>
      </w:r>
    </w:p>
    <w:p>
      <w:pPr>
        <w:spacing w:after="0" w:line="16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Under the 2011 Plan, the plan administrator also has the authority, without stockholder consent, to institute and determine the terms of an exchange program under which (i) outstanding awards are surrendered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86" w:lineRule="auto"/>
        <w:rPr>
          <w:sz w:val="20"/>
          <w:szCs w:val="20"/>
          <w:color w:val="auto"/>
        </w:rPr>
      </w:pPr>
      <w:r>
        <w:rPr>
          <w:rFonts w:ascii="Arial" w:cs="Arial" w:eastAsia="Arial" w:hAnsi="Arial"/>
          <w:sz w:val="17"/>
          <w:szCs w:val="17"/>
          <w:color w:val="auto"/>
        </w:rPr>
        <w:t>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share option agreements and option rules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specified in the share option agreements and option rules as determined by the plan administrator.</w:t>
      </w:r>
    </w:p>
    <w:p>
      <w:pPr>
        <w:spacing w:after="0" w:line="188"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plan administrator determines the term of stock options granted under the 2011 Plan, up to a maximum of 10 years (or five years for 10% stockholders as required by 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 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6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The exercise price for shares issued under the 2011 Plan are generally payable in cash or cash equivalents or other forms of consideration determined by the plan administrator, including but not limited to a broker-assisted cashless exercise or a net exercise.</w:t>
      </w:r>
    </w:p>
    <w:p>
      <w:pPr>
        <w:spacing w:after="0" w:line="14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or (except for ISOs) pursuant to a domestic relations order.</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in consideration for cash or cash equivalents or another form of consideration, including past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any dividend or other distribution, recapitalization, share split, reverse share split,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split-up, spin-off, combination, repurchase or exchange of shares or other change in our corporate structure affecting our shares, the plan administrator will adjust the number and class of shares that may be delivered under the 2011 Plan and/or the number, class and price of shares covered by each outstanding award.</w:t>
      </w:r>
    </w:p>
    <w:p>
      <w:pPr>
        <w:spacing w:after="0" w:line="18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merger or a change in control, each outstanding award will be treated as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which may include, without limitation, a determination that:</w:t>
      </w:r>
    </w:p>
    <w:p>
      <w:pPr>
        <w:spacing w:after="0" w:line="76" w:lineRule="exact"/>
        <w:rPr>
          <w:sz w:val="20"/>
          <w:szCs w:val="20"/>
          <w:color w:val="auto"/>
        </w:rPr>
      </w:pPr>
    </w:p>
    <w:p>
      <w:pPr>
        <w:ind w:left="5580" w:right="2100" w:hanging="4944"/>
        <w:spacing w:after="0" w:line="449" w:lineRule="auto"/>
        <w:tabs>
          <w:tab w:leader="none" w:pos="10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awards will be assumed or substituted by the acquiring or succeeding corporation with appropriate adjustments; 108</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written notice to the participant, the participant’s awards will terminate upon or immediately prior to the consummation of such merger or change in control;</w:t>
      </w:r>
    </w:p>
    <w:p>
      <w:pPr>
        <w:spacing w:after="0" w:line="75"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86" w:lineRule="exact"/>
        <w:rPr>
          <w:rFonts w:ascii="Arial" w:cs="Arial" w:eastAsia="Arial" w:hAnsi="Arial"/>
          <w:sz w:val="18"/>
          <w:szCs w:val="18"/>
          <w:color w:val="auto"/>
        </w:rPr>
      </w:pPr>
    </w:p>
    <w:p>
      <w:pPr>
        <w:ind w:left="1060" w:right="140" w:hanging="424"/>
        <w:spacing w:after="0" w:line="286"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70" w:lineRule="exact"/>
        <w:rPr>
          <w:rFonts w:ascii="Arial" w:cs="Arial" w:eastAsia="Arial" w:hAnsi="Arial"/>
          <w:sz w:val="17"/>
          <w:szCs w:val="17"/>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plan administrator is not obligated to treat all awards similarly.</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70"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Under the 2011 Plan, a change in control is generally defined as the occurrence of any of the following events: (i) a change in our ownership that occurs on the date that any one person, or more than one person acting as a group, acquires ownership of our share capital that, together with the share capital held by such person, constitutes more than 50% of our stockholders’ total voting power, except as a result of a private financing approved by the board of directors; (ii) if we have a class of securities registered pursuant to Section 12 of the Exchange Act, a change in the effective control of the Company that occurs on the date that a majority of our directors on the board of directors are replaced during any 12 month period by directors whose appointment or election is not endorsed by a majority of the members of the board of directors prior to the date of the appointment or election or (iii) a change in the ownership of a substantial portion of our assets that occurs on the date that any person acquires assets from us that have a total gross fair market value equal to or more than 50% of the total gross fair market value of all of our assets immediately prior to such acquisition.</w:t>
      </w:r>
    </w:p>
    <w:p>
      <w:pPr>
        <w:spacing w:after="0" w:line="166"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The plan administrator may at any time amend, alter, suspend or terminate the 2011 Plan. Certain 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alterations, or the suspension or discontinuance of the 2011 Plan may require the written consent of holders of outstanding awards. Certain material amendments also require the approval of our stockholders. Unless sooner terminated, the 2011 Plan terminates in September 2027.</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1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Our board of directors adopted our 2019 Plan in April 2019, and we expect our stockholders to approve our 2019 Plan prior to the completion of this offering. Our 2019 Plan is a successor to and continuation of our 2011 Plan. Our 2019 Plan will become effective on the date of the underwriting agreement related to this offering. The 2019 Plan came into existence upon its adoption by our board of directors, but no grants will be made under the 2019 Plan prior to its effectiveness. Once the 2019 Plan is effective, no further grants will be made under the 2011 Plan.</w:t>
      </w:r>
    </w:p>
    <w:p>
      <w:pPr>
        <w:spacing w:after="0" w:line="15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Our 2019 Plan provides for the grant of ISOs to employees, including employees of any parent or subsidiary, and for the grant of NSOs,</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restricted stock awards, restricted stock unit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awards, performance awards and other forms of awards to employees, directors and consultants, including employees and consultants of our affiliates.</w:t>
      </w:r>
    </w:p>
    <w:p>
      <w:pPr>
        <w:spacing w:after="0" w:line="24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Initially, the maximum number of shares of our Class A common stock that may be issued under our 2019 Plan after it</w:t>
      </w:r>
      <w:r>
        <w:rPr>
          <w:rFonts w:ascii="Arial" w:cs="Arial" w:eastAsia="Arial" w:hAnsi="Arial"/>
          <w:sz w:val="17"/>
          <w:szCs w:val="17"/>
          <w:i w:val="1"/>
          <w:iCs w:val="1"/>
          <w:color w:val="auto"/>
        </w:rPr>
        <w:t xml:space="preserve"> </w:t>
      </w:r>
      <w:r>
        <w:rPr>
          <w:rFonts w:ascii="Arial" w:cs="Arial" w:eastAsia="Arial" w:hAnsi="Arial"/>
          <w:sz w:val="17"/>
          <w:szCs w:val="17"/>
          <w:color w:val="auto"/>
        </w:rPr>
        <w:t>becomes effective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1st. The maximum number of shares of our Class A common stock that may be issued on the exercise of ISOs under our 2019 Plan is 174,902,667 shares.</w:t>
      </w:r>
    </w:p>
    <w:p>
      <w:pPr>
        <w:spacing w:after="0" w:line="18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Shares subject to stock awards granted under our 2019 Plan that expire or terminate without being exercised in full or that are paid out in cash rather than in shares do not reduce the number of shares available for issuance under our 2019 Plan. Shares withheld under a stock award to satisfy the exercise, strike or purchase price of a stock award or to satisfy a tax withholding obligation do not reduce the number of shares available for issuance under our 2019 Plan. If any shares of Class A common stock issued pursuant to a stock award are forfeited back to or repurchased or reacquired by us for any reason, the shares that are forfeited or repurchased or reacquired will revert to and again become available for issuance under the 2019 Plan. Any shares previously issued which are reacquired in satisfaction of tax withholding obligations or as consideration for the exercise or purchase price of a stock award will again become available for issuance under the 2019 Plan.</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2019 Plan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2019 Plan, our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Under the 2019 Plan, the board of directors also generally has the authority to effect, with the consent of any materially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adopted by the plan administrator. The plan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specified in the stock option agreement as determined by the plan administrator.</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plan administrator determines the term of stock options granted under the 2019 Plan, up to a maximum of 10 years. Unless the terms of an optionholder’s stock option agreement provide otherwise, if an optionholder’s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6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plan administrator.</w:t>
      </w:r>
    </w:p>
    <w:p>
      <w:pPr>
        <w:spacing w:after="0" w:line="18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spacing w:after="0" w:line="181" w:lineRule="exact"/>
        <w:rPr>
          <w:sz w:val="20"/>
          <w:szCs w:val="20"/>
          <w:color w:val="auto"/>
        </w:rPr>
      </w:pPr>
    </w:p>
    <w:p>
      <w:pPr>
        <w:jc w:val="both"/>
        <w:ind w:left="200" w:right="40" w:firstLine="441"/>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Class A common stock with respect to ISOs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spacing w:after="0" w:line="19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 awards are granted under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78"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are granted under stock appreciation right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determines the purchase price or strike price for a stock appreciation right, which generally cannot be less than 100% of the fair market value of our Class A common stock on the date of grant. A stock appreciation right granted under the 2019 Plan vests at the rate specified in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stock appreciation right agreement as determined by the plan administrator. Stock appreciation rights may be settled in cash or shares of Class A common stock.</w:t>
      </w:r>
    </w:p>
    <w:p>
      <w:pPr>
        <w:spacing w:after="0" w:line="170"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The plan administrator determines the term of stock appreciation rights granted under the 2019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2019 Plan permits the grant of performance awards that may be settled in stock, cash or other property.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Class A common stock.</w:t>
      </w:r>
    </w:p>
    <w:p>
      <w:pPr>
        <w:spacing w:after="0" w:line="187"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color w:val="auto"/>
        </w:rPr>
        <w:t>The performance goals may be based any measure of performance selected by the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board of directors at the time the performance award is granted, the board will appropriately make adjustments in the method of calculating the attainment of performance goals as follows: (i) to exclude restructuring and/or other nonrecurring charges; (ii) to exclude exchange rate effects; (iii) to exclude the effects of changes to generally accepted accounting principles; (iv) to exclude the effects of any statutory adjustments to corporate tax rates;</w:t>
      </w:r>
    </w:p>
    <w:p>
      <w:pPr>
        <w:spacing w:after="0" w:line="5" w:lineRule="exact"/>
        <w:rPr>
          <w:sz w:val="20"/>
          <w:szCs w:val="20"/>
          <w:color w:val="auto"/>
        </w:rPr>
      </w:pPr>
    </w:p>
    <w:p>
      <w:pPr>
        <w:ind w:left="460" w:hanging="256"/>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exclude the effects of items that are “unusual” in nature or occur “infrequently” as determined under generally accepted accounting principles;</w:t>
      </w:r>
    </w:p>
    <w:p>
      <w:pPr>
        <w:spacing w:after="0" w:line="32" w:lineRule="exact"/>
        <w:rPr>
          <w:rFonts w:ascii="Arial" w:cs="Arial" w:eastAsia="Arial" w:hAnsi="Arial"/>
          <w:sz w:val="16"/>
          <w:szCs w:val="16"/>
          <w:color w:val="auto"/>
        </w:rPr>
      </w:pPr>
    </w:p>
    <w:p>
      <w:pPr>
        <w:ind w:left="200" w:right="60" w:firstLine="4"/>
        <w:spacing w:after="0" w:line="281" w:lineRule="auto"/>
        <w:tabs>
          <w:tab w:leader="none" w:pos="50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exclude the dilutive effects of acquisitions or joint ventures; (vii) to assume that any portion of our business which is divested achieved performance objectives at targeted levels during the balance of a performance period following such divestiture; (viii)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w:t>
      </w:r>
    </w:p>
    <w:p>
      <w:pPr>
        <w:spacing w:after="0" w:line="3" w:lineRule="exact"/>
        <w:rPr>
          <w:rFonts w:ascii="Arial" w:cs="Arial" w:eastAsia="Arial" w:hAnsi="Arial"/>
          <w:sz w:val="16"/>
          <w:szCs w:val="16"/>
          <w:color w:val="auto"/>
        </w:rPr>
      </w:pPr>
    </w:p>
    <w:p>
      <w:pPr>
        <w:ind w:left="200" w:firstLine="4"/>
        <w:spacing w:after="0" w:line="255" w:lineRule="auto"/>
        <w:tabs>
          <w:tab w:leader="none" w:pos="4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9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i w:val="1"/>
          <w:iCs w:val="1"/>
          <w:color w:val="auto"/>
        </w:rPr>
        <w:t>Other Stock Awards</w:t>
      </w:r>
      <w:r>
        <w:rPr>
          <w:rFonts w:ascii="Arial" w:cs="Arial" w:eastAsia="Arial" w:hAnsi="Arial"/>
          <w:sz w:val="17"/>
          <w:szCs w:val="17"/>
          <w:color w:val="auto"/>
        </w:rPr>
        <w:t>. The plan administrator may grant other awards based in whole or in part by reference to our Class A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(or cash equivalent) and all other terms and conditions of such awards.</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Non-Employee Director Compensation Limit. </w:t>
      </w:r>
      <w:r>
        <w:rPr>
          <w:rFonts w:ascii="Arial" w:cs="Arial" w:eastAsia="Arial" w:hAnsi="Arial"/>
          <w:sz w:val="18"/>
          <w:szCs w:val="18"/>
          <w:color w:val="auto"/>
        </w:rPr>
        <w:t>The aggregate value of all compensation granted or paid to any Non-Employee Director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any calendar year, including awards granted and cash fees paid by the Company to such Non-Employee Director, will not exceed $750,000 in total value.</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2019 Plan, (2) the class and maximum number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2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2019 Plan in the event of a corporate transaction (as defined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unless otherwise provided in a participant’s stock award agreement or other written agreement with us or one of our affiliates or unless otherwise expressly provided by the plan administrator at the time of grant.</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8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provided in the stock award, if applicable. In addition, any escrow, holdback, earn out or similar provisions in the definitive agreement for the corporate transaction may apply to such payment to the same extent and in the same manner as such provisions apply to the holders of Class A common stock.</w:t>
      </w:r>
    </w:p>
    <w:p>
      <w:pPr>
        <w:spacing w:after="0" w:line="19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Under the 2019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Awards granted under the 2019 Plan may be subject to acceleration of vesting and exercisability upon or after a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as may be provided in the applicable stock award agreement or in any other written agreement between us or any affiliate and the participant, but in the absence of such provision, no such acceleration will automatically occur. Under the 2019 Plan, a change in control is generally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stockholder approval of a complete dissolution or liquidation,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2019 Plan, provided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2019 Plan. No stock awards may be granted under our 2019 Plan while it is suspended or after it is terminated.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board of directors adopted our ESPP in April 2019 and we expect our stockholders to approve our 2019 Plan prior to the completion of this offering. The ESPP will become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eligible U.S. employees to purchase our common stock in a manner that may qualify for favorable tax treatment under Section 423 of the Code. In addition, purchase rights may be granted under a component that does not qualify for such favorable tax treatment because of deviations necessary to permit participation by eligible employees who are foreign nationals or employed outside of the U.S. while complying with applicable foreign laws.</w:t>
      </w:r>
    </w:p>
    <w:p>
      <w:pPr>
        <w:spacing w:after="0" w:line="16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Following this offering, the ESPP authorizes the issuance of 9,000,000 shares of our Class A common stock under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our employees or to employees of any of our designated affiliates.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 As of the date hereof, no shares of our Class A common stock have been purchased under the ESPP.</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the ESPP and may delegate its authority to administer the ESPP to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ESPP 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w:t>
      </w:r>
    </w:p>
    <w:p>
      <w:pPr>
        <w:spacing w:after="0" w:line="193"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Employees may have to satisfy one or more of the following service requirements before participating in the ESPP, as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employee may purchase shares under the ESPP at a rate in excess of $25,000 worth of our Class A common stock based on the fair market value per share of our Class A common stock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stock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any then-outstanding rights to purchase our stock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ESPP Amendment or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Upon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authorize us to indemnify our directors, officers, employees and other agents to the fullest extent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permitted by Delaware law. 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that will be in effect upon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the following describes transactions since February 1, 2015 and each currently proposed transaction in which:</w:t>
      </w:r>
    </w:p>
    <w:p>
      <w:pPr>
        <w:spacing w:after="0" w:line="76" w:lineRule="exact"/>
        <w:rPr>
          <w:sz w:val="20"/>
          <w:szCs w:val="20"/>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60" w:right="100" w:hanging="424"/>
        <w:spacing w:after="0" w:line="308"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Financing</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 December 2016 and January 2017, we sold an aggregate of 30,727,064 shares of our Series D convertible preferred stock at a purchase price of $3.74 per share, for an aggregate purchase price of approximately $115.0 million. The following table summarizes purchases of our Series D convertible preferred stock by related persons: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Stockholder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Entities affiliated with Sequoia Capital </w:t>
      </w: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699770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EZP Opportunity, L.P.</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4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Series D</w:t>
            </w:r>
          </w:p>
        </w:tc>
        <w:tc>
          <w:tcPr>
            <w:tcW w:w="3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3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95"/>
        </w:trPr>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99"/>
              </w:rPr>
              <w:t>26,727,064</w:t>
            </w:r>
          </w:p>
        </w:tc>
        <w:tc>
          <w:tcPr>
            <w:tcW w:w="38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91"/>
              </w:rPr>
              <w:t>$ 99,999,978</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2,850,724</w:t>
            </w:r>
          </w:p>
        </w:tc>
        <w:tc>
          <w:tcPr>
            <w:tcW w:w="13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$ 10,666,055</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8180" w:space="720"/>
            <w:col w:w="2320"/>
          </w:cols>
          <w:pgMar w:left="240" w:top="459" w:right="439" w:bottom="1440" w:gutter="0" w:footer="0" w:header="0"/>
          <w:type w:val="continuous"/>
        </w:sectPr>
      </w:pPr>
    </w:p>
    <w:p>
      <w:pPr>
        <w:jc w:val="both"/>
        <w:ind w:left="640" w:right="40" w:hanging="436"/>
        <w:spacing w:after="0" w:line="256"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Entities associated with Sequoia Capital holding our securities whose shares are aggregated for purposes of reporting share ownership information are Sequoia Capital Global Growth Fund II, L.P., Sequoia Capital Global Growth II Principals Fund, L.P., Sequoia Capital U.S. Growth Fund VII, L.P. and Sequoia Capital U.S. Growth VII Principals Fund, L.P.</w:t>
      </w: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Carl Eschenbach, a member of our board of directors, is a General Partner at Sequoia Capital.</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Santiago Subotovsky, a member of our board of directors, is a General Partner at Emergence Capital Partners.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Digital Mobile Venture Limited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Transfer Agreement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May 2017, Mr. Yuan entered into a stock transfer agreement with one of our investors, Digital Mobile Venture Ltd. (Digital Mobile), a holder of more than 5% of our outstanding capital stock and a fund affiliated with Samuel Chen, a former member of our board of directors, pursuant to which Mr. Yuan transferred 2,899,136 shares of our common stock to Digital Mobile and received $3.74 per share for such transferred shares. We had previously redeemed 4,000,000 shares of Series A convertible preferred stock from Digital Mobile to offset dilution and facilitate our Series D convertible preferred stock financing. Mr. Yuan, by means of the stock transfer described above, and another stockholder transferred an aggregate of 4,000,000 shares to Digital Mobile to replace the shares we had previously redeemed from Digital Mobile. The purpose of Mr. Yuan’s stock transfer was not intended to be compensation paid by us to him. However, under financial accounting standards, we recognized a portion of the price paid to Mr. Yuan as stock-based compensation. We waived our right of first refusal in connection with the stock transfer described above.</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Stock Repurchase</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December 2016, we entered into a repurchase agreement with Digital Mobile pursuant to which we repurchased 4,000,000 shares of our Series A convertible preferred stock for an aggregate purchase price of approximately $15.0 million.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October 2015, we entered into a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Pursuant to the amended reseller agreement, DMI is obligated to purchase a minimum of $0.2 million per year.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party to an amended and restated investors’ rights agreement (IRA) with certain holders of our capital stock, including Eric S. Yuan, Bucantini Enterprises Limited, Beyond Merits Limited, an entity affiliated with Bart Swanson, Digital Mobile, entities affiliated with Emergence Capital Partners and entities affiliated with Sequoia Capital, as well as other holders of our convertible preferred stock. The IRA provides the holders of our convertible preferred stock with certain registration rights, including the right to demand that we file a registration statement or request that their shares be covered by a registration statement that we are otherwise filing, including the registration statement related to this offering. The IRA also provides these stockholders with information rights, which will terminate upon the completion of this offering, and a right of first refusal with regard to certain issuances of our capital stock, which will not apply to, and will terminate upon, the completion of this offering. As of January 31, 2019, the holders of up to 209,264,532 shares of our Class B common stock issuable on conversion of outstanding preferred stock will be entitled to rights with respect to the registration of their shares under the Securities Act under this agreement. For a description of these registration rights, see the section titled “Description of Capital Stock—Registration Rights.”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Pursuant to our equity compensation plans and certain agreements with our stockholders, including a right of first refusal and co-sale agreement with certain holders of our capital stock, including Bucantini Enterprises Limited, Beyond Merits Limited, an entity affiliated with Bart Swanson, Digital Mobile, entities affiliated with Emergence Capital Partners, entities affiliated with Sequoia Capital and Eric S. Yuan, we or our assignees have a right to purchase shares of our capital stock which stockholders propose to sell to other parties. This right will terminate upon the completion of this offering. Since February 1, 2015, we have waived our right of first refusal in connection with the sale of certain shares of our capital stock, including sales by certain of our executive officers, resulting in the purchase of such shares by certain of our stockholders, including related persons. See the section titled “Principal and Selling Stockholders” for additional information regarding beneficial ownership of our capital stock.</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Loan to Executive Officer</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November 2015, we loaned Eric S. Yuan $2.0 million pursuant to a full-recourse promissory note. The note bore interest at a rate per annum of 4%, compounded annually. The balance of the loan and interest were repaid in full by Mr. Yuan in March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Veeva Systems Inc.</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September 2016, we entered into a service agreement with Veeva Systems Inc. (Veeva), a cloud-based business solutions company. The chief executive officer of Veeva serves as one of our directors. Revenue recognized from Veeva was $0.3 million. $1.4 million and $1.3 million for the fiscal years ended January 31, 2017, 2018 and 2019,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contain provisions limiting the liability of directors,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AND SELLING STOCKHOLDERS</w:t>
      </w:r>
    </w:p>
    <w:p>
      <w:pPr>
        <w:spacing w:after="0" w:line="12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March 31, 2019, and as adjusted to reflect the sale of our Class A common stock offered by us and the selling stockholders in this offering and the concurrent private placement assuming no exercise of the underwriters’ option to purchase additional shares, for:</w:t>
      </w:r>
    </w:p>
    <w:p>
      <w:pPr>
        <w:spacing w:after="0" w:line="87" w:lineRule="exact"/>
        <w:rPr>
          <w:sz w:val="20"/>
          <w:szCs w:val="20"/>
          <w:color w:val="auto"/>
        </w:rPr>
      </w:pPr>
    </w:p>
    <w:p>
      <w:pPr>
        <w:ind w:left="1060" w:hanging="163"/>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163"/>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60" w:hanging="163"/>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30" w:lineRule="exact"/>
        <w:rPr>
          <w:rFonts w:ascii="Arial" w:cs="Arial" w:eastAsia="Arial" w:hAnsi="Arial"/>
          <w:sz w:val="18"/>
          <w:szCs w:val="18"/>
          <w:color w:val="auto"/>
        </w:rPr>
      </w:pPr>
    </w:p>
    <w:p>
      <w:pPr>
        <w:ind w:left="1060" w:hanging="163"/>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Class A or Class B common stock; and</w:t>
      </w:r>
    </w:p>
    <w:p>
      <w:pPr>
        <w:spacing w:after="0" w:line="142" w:lineRule="exact"/>
        <w:rPr>
          <w:rFonts w:ascii="Arial" w:cs="Arial" w:eastAsia="Arial" w:hAnsi="Arial"/>
          <w:sz w:val="17"/>
          <w:szCs w:val="17"/>
          <w:color w:val="auto"/>
        </w:rPr>
      </w:pPr>
    </w:p>
    <w:p>
      <w:pPr>
        <w:ind w:left="1060" w:hanging="163"/>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Applicable percentage ownership before the offering and the concurrent private placement is based on 6,690,114 shares of Class A common stock and 249,364,915 shares of Class B common stock outstanding as of March 31, 2019, assuming the automatic conversion of all outstanding shares of preferred stock into shares of Class B common stock upon the completion of this offering and the concurrent private placement. Applicable percentage ownership after the offering and the concurrent private placement is based on 24,260,855 shares of Class A common stock and 220,343,332 shares of Class B common stock outstanding immediately after the completion of this offering and the concurrent private placement, assuming no exercise by the underwriters of their over-allotment option. In computing the number of shares beneficially owned by a person and the percentage ownership of such person, we deemed to be outstanding all shares subject to options held by the person that are currently exercisable, or exercisable within 60 days of March 31, 2019. However, except as described above, we did not deem such shares outstanding for the purpose of computing the percentage ownership of any other person.</w:t>
      </w:r>
    </w:p>
    <w:p>
      <w:pPr>
        <w:spacing w:after="0" w:line="19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Zoom Video Communications, Inc., 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 San Jose, California 95113.</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gridSpan w:val="8"/>
          </w:tcPr>
          <w:p>
            <w:pPr>
              <w:jc w:val="right"/>
              <w:spacing w:after="0"/>
              <w:rPr>
                <w:sz w:val="20"/>
                <w:szCs w:val="20"/>
                <w:color w:val="auto"/>
              </w:rPr>
            </w:pPr>
            <w:r>
              <w:rPr>
                <w:rFonts w:ascii="Arial" w:cs="Arial" w:eastAsia="Arial" w:hAnsi="Arial"/>
                <w:sz w:val="14"/>
                <w:szCs w:val="14"/>
                <w:b w:val="1"/>
                <w:bCs w:val="1"/>
                <w:color w:val="auto"/>
              </w:rPr>
              <w:t>Shares Beneficially Owned Prior to Offering</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3"/>
              </w:rPr>
              <w:t>Shares Beneficially Owned After</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rPr>
              <w:t>and Concurrent Private Placement</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Offering and Concurrent Private Placement</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3"/>
              </w:rPr>
              <w:t>Class A</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1"/>
              </w:rPr>
              <w:t>Class B Common</w:t>
            </w: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Class A</w:t>
            </w:r>
          </w:p>
        </w:tc>
        <w:tc>
          <w:tcPr>
            <w:tcW w:w="16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Class B Common</w:t>
            </w:r>
          </w:p>
        </w:tc>
        <w:tc>
          <w:tcPr>
            <w:tcW w:w="2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7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 of</w:t>
            </w:r>
          </w:p>
        </w:tc>
        <w:tc>
          <w:tcPr>
            <w:tcW w:w="1560" w:type="dxa"/>
            <w:vAlign w:val="bottom"/>
            <w:gridSpan w:val="4"/>
            <w:vMerge w:val="continue"/>
          </w:tcPr>
          <w:p>
            <w:pPr>
              <w:spacing w:after="0"/>
              <w:rPr>
                <w:sz w:val="7"/>
                <w:szCs w:val="7"/>
                <w:color w:val="auto"/>
              </w:rPr>
            </w:pPr>
          </w:p>
        </w:tc>
        <w:tc>
          <w:tcPr>
            <w:tcW w:w="1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5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2"/>
            <w:vMerge w:val="restart"/>
          </w:tcPr>
          <w:p>
            <w:pPr>
              <w:jc w:val="center"/>
              <w:ind w:left="292"/>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5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2"/>
            <w:vMerge w:val="restart"/>
          </w:tcPr>
          <w:p>
            <w:pPr>
              <w:jc w:val="center"/>
              <w:ind w:left="272"/>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Voting</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560" w:type="dxa"/>
            <w:vAlign w:val="bottom"/>
            <w:gridSpan w:val="4"/>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25"/>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9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
                <w:szCs w:val="2"/>
                <w:color w:val="auto"/>
              </w:rPr>
            </w:pPr>
          </w:p>
        </w:tc>
        <w:tc>
          <w:tcPr>
            <w:tcW w:w="100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
                <w:szCs w:val="2"/>
                <w:color w:val="auto"/>
              </w:rPr>
            </w:pPr>
          </w:p>
        </w:tc>
        <w:tc>
          <w:tcPr>
            <w:tcW w:w="9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34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Power†</w:t>
            </w: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being Sold</w:t>
            </w:r>
          </w:p>
        </w:tc>
        <w:tc>
          <w:tcPr>
            <w:tcW w:w="80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Power†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5% Stockholders</w:t>
            </w:r>
          </w:p>
        </w:tc>
        <w:tc>
          <w:tcPr>
            <w:tcW w:w="7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Emergence Capital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Partners</w:t>
            </w:r>
            <w:r>
              <w:rPr>
                <w:rFonts w:ascii="Arial" w:cs="Arial" w:eastAsia="Arial" w:hAnsi="Arial"/>
                <w:sz w:val="15"/>
                <w:szCs w:val="15"/>
                <w:color w:val="auto"/>
              </w:rPr>
              <w:t>(1)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30,400,851</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780" w:type="dxa"/>
            <w:vAlign w:val="bottom"/>
          </w:tcPr>
          <w:p>
            <w:pPr>
              <w:jc w:val="right"/>
              <w:spacing w:after="0"/>
              <w:rPr>
                <w:sz w:val="20"/>
                <w:szCs w:val="20"/>
                <w:color w:val="auto"/>
              </w:rPr>
            </w:pPr>
            <w:r>
              <w:rPr>
                <w:rFonts w:ascii="Arial" w:cs="Arial" w:eastAsia="Arial" w:hAnsi="Arial"/>
                <w:sz w:val="18"/>
                <w:szCs w:val="18"/>
                <w:color w:val="auto"/>
              </w:rPr>
              <w:t>912,026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29,488,825</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13.4%</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Entities affiliated with Sequoia</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w:t>
            </w:r>
            <w:r>
              <w:rPr>
                <w:rFonts w:ascii="Arial" w:cs="Arial" w:eastAsia="Arial" w:hAnsi="Arial"/>
                <w:sz w:val="15"/>
                <w:szCs w:val="15"/>
                <w:color w:val="auto"/>
              </w:rPr>
              <w:t>(2)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27,614,576</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828,437</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26,786,139</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12.2%</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Digital Mobile Venture Ltd.</w:t>
            </w:r>
            <w:r>
              <w:rPr>
                <w:rFonts w:ascii="Arial" w:cs="Arial" w:eastAsia="Arial" w:hAnsi="Arial"/>
                <w:sz w:val="15"/>
                <w:szCs w:val="15"/>
                <w:color w:val="auto"/>
              </w:rPr>
              <w:t>(3)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21,273,357</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78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20,673,357</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Bucantini Enterprises</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Limited</w:t>
            </w:r>
            <w:r>
              <w:rPr>
                <w:rFonts w:ascii="Arial" w:cs="Arial" w:eastAsia="Arial" w:hAnsi="Arial"/>
                <w:sz w:val="15"/>
                <w:szCs w:val="15"/>
                <w:color w:val="auto"/>
              </w:rPr>
              <w:t>(4)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14,715,641</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507,243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14,208,398</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 Bin</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Yuan</w:t>
            </w:r>
            <w:r>
              <w:rPr>
                <w:rFonts w:ascii="Arial" w:cs="Arial" w:eastAsia="Arial" w:hAnsi="Arial"/>
                <w:sz w:val="15"/>
                <w:szCs w:val="15"/>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5,940,000</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88.8%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999,999</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4,940,001</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20.4%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Directors and Named</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Executive Officers</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Eric S. Yuan</w:t>
            </w:r>
            <w:r>
              <w:rPr>
                <w:rFonts w:ascii="Arial" w:cs="Arial" w:eastAsia="Arial" w:hAnsi="Arial"/>
                <w:sz w:val="15"/>
                <w:szCs w:val="15"/>
                <w:color w:val="auto"/>
              </w:rPr>
              <w:t>(6)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47,265,849</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780" w:type="dxa"/>
            <w:vAlign w:val="bottom"/>
          </w:tcPr>
          <w:p>
            <w:pPr>
              <w:jc w:val="right"/>
              <w:spacing w:after="0"/>
              <w:rPr>
                <w:sz w:val="20"/>
                <w:szCs w:val="20"/>
                <w:color w:val="auto"/>
              </w:rPr>
            </w:pPr>
            <w:r>
              <w:rPr>
                <w:rFonts w:ascii="Arial" w:cs="Arial" w:eastAsia="Arial" w:hAnsi="Arial"/>
                <w:sz w:val="18"/>
                <w:szCs w:val="18"/>
                <w:color w:val="auto"/>
              </w:rPr>
              <w:t>587,787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46,678,062</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21.1%</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Carl Eschenbach</w:t>
            </w:r>
            <w:r>
              <w:rPr>
                <w:rFonts w:ascii="Arial" w:cs="Arial" w:eastAsia="Arial" w:hAnsi="Arial"/>
                <w:sz w:val="15"/>
                <w:szCs w:val="15"/>
                <w:color w:val="auto"/>
              </w:rPr>
              <w:t>(8)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Gassner</w:t>
            </w:r>
            <w:r>
              <w:rPr>
                <w:rFonts w:ascii="Arial" w:cs="Arial" w:eastAsia="Arial" w:hAnsi="Arial"/>
                <w:sz w:val="15"/>
                <w:szCs w:val="15"/>
                <w:color w:val="auto"/>
              </w:rPr>
              <w:t>(9)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(10)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166,797</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166,797</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2,846,372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2,846,372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Santiago Subotovsky</w:t>
            </w:r>
            <w:r>
              <w:rPr>
                <w:rFonts w:ascii="Arial" w:cs="Arial" w:eastAsia="Arial" w:hAnsi="Arial"/>
                <w:sz w:val="15"/>
                <w:szCs w:val="15"/>
                <w:color w:val="auto"/>
              </w:rPr>
              <w:t>(12)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30,400,851</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780" w:type="dxa"/>
            <w:vAlign w:val="bottom"/>
          </w:tcPr>
          <w:p>
            <w:pPr>
              <w:jc w:val="right"/>
              <w:spacing w:after="0"/>
              <w:rPr>
                <w:sz w:val="20"/>
                <w:szCs w:val="20"/>
                <w:color w:val="auto"/>
              </w:rPr>
            </w:pPr>
            <w:r>
              <w:rPr>
                <w:rFonts w:ascii="Arial" w:cs="Arial" w:eastAsia="Arial" w:hAnsi="Arial"/>
                <w:sz w:val="18"/>
                <w:szCs w:val="18"/>
                <w:color w:val="auto"/>
              </w:rPr>
              <w:t>912,026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29,488,825</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13.4%</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Bart Swanson</w:t>
            </w:r>
            <w:r>
              <w:rPr>
                <w:rFonts w:ascii="Arial" w:cs="Arial" w:eastAsia="Arial" w:hAnsi="Arial"/>
                <w:sz w:val="15"/>
                <w:szCs w:val="15"/>
                <w:color w:val="auto"/>
              </w:rPr>
              <w:t>(13)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Gregory Holmes</w:t>
            </w:r>
            <w:r>
              <w:rPr>
                <w:rFonts w:ascii="Arial" w:cs="Arial" w:eastAsia="Arial" w:hAnsi="Arial"/>
                <w:sz w:val="15"/>
                <w:szCs w:val="15"/>
                <w:color w:val="auto"/>
              </w:rPr>
              <w:t>(14)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1,910,000</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1,550,000</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Janine Pelosi</w:t>
            </w:r>
            <w:r>
              <w:rPr>
                <w:rFonts w:ascii="Arial" w:cs="Arial" w:eastAsia="Arial" w:hAnsi="Arial"/>
                <w:sz w:val="15"/>
                <w:szCs w:val="15"/>
                <w:color w:val="auto"/>
              </w:rPr>
              <w:t>(15)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Aparna Bawa</w:t>
            </w:r>
            <w:r>
              <w:rPr>
                <w:rFonts w:ascii="Arial" w:cs="Arial" w:eastAsia="Arial" w:hAnsi="Arial"/>
                <w:sz w:val="15"/>
                <w:szCs w:val="15"/>
                <w:color w:val="auto"/>
              </w:rPr>
              <w:t>(16)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officers as a group</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 persons)</w:t>
            </w:r>
            <w:r>
              <w:rPr>
                <w:rFonts w:ascii="Arial" w:cs="Arial" w:eastAsia="Arial" w:hAnsi="Arial"/>
                <w:sz w:val="15"/>
                <w:szCs w:val="15"/>
                <w:color w:val="auto"/>
              </w:rPr>
              <w:t>(17)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84,626,895</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1,581,481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83,045,414</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37.4%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Other Selling Stockholders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National Philanthropic</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Trust</w:t>
            </w:r>
            <w:r>
              <w:rPr>
                <w:rFonts w:ascii="Arial" w:cs="Arial" w:eastAsia="Arial" w:hAnsi="Arial"/>
                <w:sz w:val="15"/>
                <w:szCs w:val="15"/>
                <w:color w:val="auto"/>
              </w:rPr>
              <w:t>(18)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96"/>
              </w:rPr>
              <w:t>AME Cloud Ventures, LLC</w:t>
            </w:r>
            <w:r>
              <w:rPr>
                <w:rFonts w:ascii="Arial" w:cs="Arial" w:eastAsia="Arial" w:hAnsi="Arial"/>
                <w:sz w:val="15"/>
                <w:szCs w:val="15"/>
                <w:color w:val="auto"/>
                <w:w w:val="96"/>
              </w:rPr>
              <w:t>(19)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5,272,588</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1,054,518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4,218,070</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Puccini World Limited</w:t>
            </w:r>
            <w:r>
              <w:rPr>
                <w:rFonts w:ascii="Arial" w:cs="Arial" w:eastAsia="Arial" w:hAnsi="Arial"/>
                <w:sz w:val="15"/>
                <w:szCs w:val="15"/>
                <w:color w:val="auto"/>
              </w:rPr>
              <w:t>(20)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9,629,939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223,124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9,406,815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QUALCOMM</w:t>
            </w:r>
            <w:r>
              <w:rPr>
                <w:rFonts w:ascii="Arial" w:cs="Arial" w:eastAsia="Arial" w:hAnsi="Arial"/>
                <w:sz w:val="15"/>
                <w:szCs w:val="15"/>
                <w:color w:val="auto"/>
              </w:rPr>
              <w:t>(21)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4,244,384</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780" w:type="dxa"/>
            <w:vAlign w:val="bottom"/>
          </w:tcPr>
          <w:p>
            <w:pPr>
              <w:jc w:val="right"/>
              <w:spacing w:after="0"/>
              <w:rPr>
                <w:sz w:val="20"/>
                <w:szCs w:val="20"/>
                <w:color w:val="auto"/>
              </w:rPr>
            </w:pPr>
            <w:r>
              <w:rPr>
                <w:rFonts w:ascii="Arial" w:cs="Arial" w:eastAsia="Arial" w:hAnsi="Arial"/>
                <w:sz w:val="18"/>
                <w:szCs w:val="18"/>
                <w:color w:val="auto"/>
              </w:rPr>
              <w:t>848,877</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3,395,507</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Berman</w:t>
            </w:r>
            <w:r>
              <w:rPr>
                <w:rFonts w:ascii="Arial" w:cs="Arial" w:eastAsia="Arial" w:hAnsi="Arial"/>
                <w:sz w:val="15"/>
                <w:szCs w:val="15"/>
                <w:color w:val="auto"/>
              </w:rPr>
              <w:t>(22)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2,825,000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Xiaoke Liu</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833,333</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783,333</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Changbin Wang</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3,581,348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2,481,348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Long Wang</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1,666,666</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1,606,666</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Huipin Zhang</w:t>
            </w:r>
            <w:r>
              <w:rPr>
                <w:rFonts w:ascii="Arial" w:cs="Arial" w:eastAsia="Arial" w:hAnsi="Arial"/>
                <w:sz w:val="15"/>
                <w:szCs w:val="15"/>
                <w:color w:val="auto"/>
              </w:rPr>
              <w:t>(23)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2,322,500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273"/>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4"/>
              </w:rPr>
              <w:t>Shares Beneficially Owned Prior to Offering</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Shares Beneficially Owned After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3"/>
              </w:rPr>
              <w:t>and Concurrent Private Placement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11"/>
          </w:tcPr>
          <w:p>
            <w:pPr>
              <w:jc w:val="center"/>
              <w:ind w:right="100"/>
              <w:spacing w:after="0"/>
              <w:rPr>
                <w:sz w:val="20"/>
                <w:szCs w:val="20"/>
                <w:color w:val="auto"/>
              </w:rPr>
            </w:pPr>
            <w:r>
              <w:rPr>
                <w:rFonts w:ascii="Arial" w:cs="Arial" w:eastAsia="Arial" w:hAnsi="Arial"/>
                <w:sz w:val="14"/>
                <w:szCs w:val="14"/>
                <w:b w:val="1"/>
                <w:bCs w:val="1"/>
                <w:color w:val="auto"/>
                <w:w w:val="94"/>
              </w:rPr>
              <w:t>Offering and Concurrent Private Placement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60" w:type="dxa"/>
            <w:vAlign w:val="bottom"/>
            <w:tcBorders>
              <w:top w:val="single" w:sz="8" w:color="auto"/>
            </w:tcBorders>
            <w:gridSpan w:val="3"/>
            <w:vMerge w:val="restart"/>
          </w:tcPr>
          <w:p>
            <w:pPr>
              <w:ind w:left="260"/>
              <w:spacing w:after="0"/>
              <w:rPr>
                <w:sz w:val="20"/>
                <w:szCs w:val="20"/>
                <w:color w:val="auto"/>
              </w:rPr>
            </w:pPr>
            <w:r>
              <w:rPr>
                <w:rFonts w:ascii="Arial" w:cs="Arial" w:eastAsia="Arial" w:hAnsi="Arial"/>
                <w:sz w:val="14"/>
                <w:szCs w:val="14"/>
                <w:b w:val="1"/>
                <w:bCs w:val="1"/>
                <w:color w:val="auto"/>
                <w:w w:val="93"/>
              </w:rPr>
              <w:t>Class A</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1"/>
              </w:rPr>
              <w:t>Class B Common</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5"/>
            <w:vMerge w:val="restart"/>
          </w:tcPr>
          <w:p>
            <w:pPr>
              <w:ind w:left="280"/>
              <w:spacing w:after="0"/>
              <w:rPr>
                <w:sz w:val="20"/>
                <w:szCs w:val="20"/>
                <w:color w:val="auto"/>
              </w:rPr>
            </w:pPr>
            <w:r>
              <w:rPr>
                <w:rFonts w:ascii="Arial" w:cs="Arial" w:eastAsia="Arial" w:hAnsi="Arial"/>
                <w:sz w:val="14"/>
                <w:szCs w:val="14"/>
                <w:b w:val="1"/>
                <w:bCs w:val="1"/>
                <w:color w:val="auto"/>
              </w:rPr>
              <w:t>Class A</w:t>
            </w:r>
          </w:p>
        </w:tc>
        <w:tc>
          <w:tcPr>
            <w:tcW w:w="1340" w:type="dxa"/>
            <w:vAlign w:val="bottom"/>
            <w:tcBorders>
              <w:top w:val="single" w:sz="8" w:color="auto"/>
            </w:tcBorders>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3"/>
              </w:rPr>
              <w:t>Class B Common</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7"/>
                <w:szCs w:val="7"/>
                <w:color w:val="auto"/>
              </w:rPr>
            </w:pPr>
          </w:p>
        </w:tc>
        <w:tc>
          <w:tcPr>
            <w:tcW w:w="8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 of</w:t>
            </w:r>
          </w:p>
        </w:tc>
        <w:tc>
          <w:tcPr>
            <w:tcW w:w="1200" w:type="dxa"/>
            <w:vAlign w:val="bottom"/>
            <w:gridSpan w:val="5"/>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6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2"/>
            <w:vMerge w:val="restart"/>
          </w:tcPr>
          <w:p>
            <w:pPr>
              <w:jc w:val="center"/>
              <w:ind w:left="54"/>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gridSpan w:val="2"/>
            <w:vMerge w:val="restart"/>
          </w:tcPr>
          <w:p>
            <w:pPr>
              <w:jc w:val="center"/>
              <w:ind w:left="54"/>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180" w:type="dxa"/>
            <w:vAlign w:val="bottom"/>
            <w:gridSpan w:val="5"/>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Voting</w:t>
            </w:r>
          </w:p>
        </w:tc>
        <w:tc>
          <w:tcPr>
            <w:tcW w:w="160" w:type="dxa"/>
            <w:vAlign w:val="bottom"/>
          </w:tcPr>
          <w:p>
            <w:pPr>
              <w:spacing w:after="0"/>
              <w:rPr>
                <w:sz w:val="9"/>
                <w:szCs w:val="9"/>
                <w:color w:val="auto"/>
              </w:rPr>
            </w:pPr>
          </w:p>
        </w:tc>
        <w:tc>
          <w:tcPr>
            <w:tcW w:w="8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200" w:type="dxa"/>
            <w:vAlign w:val="bottom"/>
            <w:gridSpan w:val="5"/>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25"/>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
                <w:szCs w:val="2"/>
                <w:color w:val="auto"/>
              </w:rPr>
            </w:pPr>
          </w:p>
        </w:tc>
        <w:tc>
          <w:tcPr>
            <w:tcW w:w="100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2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8"/>
              </w:rPr>
              <w:t>Shares</w:t>
            </w:r>
          </w:p>
        </w:tc>
        <w:tc>
          <w:tcPr>
            <w:tcW w:w="520" w:type="dxa"/>
            <w:vAlign w:val="bottom"/>
            <w:tcBorders>
              <w:top w:val="single" w:sz="8" w:color="auto"/>
            </w:tcBorders>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
                <w:szCs w:val="2"/>
                <w:color w:val="auto"/>
              </w:rPr>
            </w:pPr>
          </w:p>
        </w:tc>
        <w:tc>
          <w:tcPr>
            <w:tcW w:w="102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Power†</w:t>
            </w:r>
          </w:p>
        </w:tc>
        <w:tc>
          <w:tcPr>
            <w:tcW w:w="160" w:type="dxa"/>
            <w:vAlign w:val="bottom"/>
          </w:tcPr>
          <w:p>
            <w:pPr>
              <w:spacing w:after="0"/>
              <w:rPr>
                <w:sz w:val="13"/>
                <w:szCs w:val="13"/>
                <w:color w:val="auto"/>
              </w:rPr>
            </w:pPr>
          </w:p>
        </w:tc>
        <w:tc>
          <w:tcPr>
            <w:tcW w:w="8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being Sold</w:t>
            </w:r>
          </w:p>
        </w:tc>
        <w:tc>
          <w:tcPr>
            <w:tcW w:w="520" w:type="dxa"/>
            <w:vAlign w:val="bottom"/>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Power†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All Heads of Engineering Department</w:t>
            </w: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Employees</w:t>
            </w:r>
            <w:r>
              <w:rPr>
                <w:rFonts w:ascii="Arial" w:cs="Arial" w:eastAsia="Arial" w:hAnsi="Arial"/>
                <w:sz w:val="15"/>
                <w:szCs w:val="15"/>
                <w:color w:val="auto"/>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1,906,108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253,000</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1,653,108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All Senior Manager Employees</w:t>
            </w:r>
            <w:r>
              <w:rPr>
                <w:rFonts w:ascii="Arial" w:cs="Arial" w:eastAsia="Arial" w:hAnsi="Arial"/>
                <w:sz w:val="15"/>
                <w:szCs w:val="15"/>
                <w:color w:val="auto"/>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2,039,917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281,000</w:t>
            </w: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1,758,917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Senior Engineer Employees</w:t>
            </w:r>
            <w:r>
              <w:rPr>
                <w:rFonts w:ascii="Arial" w:cs="Arial" w:eastAsia="Arial" w:hAnsi="Arial"/>
                <w:sz w:val="15"/>
                <w:szCs w:val="15"/>
                <w:color w:val="auto"/>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1,111,166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70,866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All Engineering Operations Department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Employees</w:t>
            </w:r>
            <w:r>
              <w:rPr>
                <w:rFonts w:ascii="Arial" w:cs="Arial" w:eastAsia="Arial" w:hAnsi="Arial"/>
                <w:sz w:val="15"/>
                <w:szCs w:val="15"/>
                <w:color w:val="auto"/>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2,243,458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303,750</w:t>
            </w:r>
          </w:p>
        </w:tc>
        <w:tc>
          <w:tcPr>
            <w:tcW w:w="18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1,939,708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Engineer Employees</w:t>
            </w:r>
            <w:r>
              <w:rPr>
                <w:rFonts w:ascii="Arial" w:cs="Arial" w:eastAsia="Arial" w:hAnsi="Arial"/>
                <w:sz w:val="15"/>
                <w:szCs w:val="15"/>
                <w:color w:val="auto"/>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1,837,334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25,542</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1,793,918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All Other Sales Department Employees</w:t>
            </w:r>
            <w:r>
              <w:rPr>
                <w:rFonts w:ascii="Arial" w:cs="Arial" w:eastAsia="Arial" w:hAnsi="Arial"/>
                <w:sz w:val="15"/>
                <w:szCs w:val="15"/>
                <w:color w:val="auto"/>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844,579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147,798</w:t>
            </w: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696,781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Other Technical Support Department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Employees</w:t>
            </w:r>
            <w:r>
              <w:rPr>
                <w:rFonts w:ascii="Arial" w:cs="Arial" w:eastAsia="Arial" w:hAnsi="Arial"/>
                <w:sz w:val="15"/>
                <w:szCs w:val="15"/>
                <w:color w:val="auto"/>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77,517</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w w:val="96"/>
              </w:rPr>
              <w:t>All Professional Service Organization Department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Employees</w:t>
            </w:r>
            <w:r>
              <w:rPr>
                <w:rFonts w:ascii="Arial" w:cs="Arial" w:eastAsia="Arial" w:hAnsi="Arial"/>
                <w:sz w:val="15"/>
                <w:szCs w:val="15"/>
                <w:color w:val="auto"/>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2,117,499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160,500</w:t>
            </w:r>
          </w:p>
        </w:tc>
        <w:tc>
          <w:tcPr>
            <w:tcW w:w="18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1,956,999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Current Employees</w:t>
            </w:r>
            <w:r>
              <w:rPr>
                <w:rFonts w:ascii="Arial" w:cs="Arial" w:eastAsia="Arial" w:hAnsi="Arial"/>
                <w:sz w:val="15"/>
                <w:szCs w:val="15"/>
                <w:color w:val="auto"/>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1,828,065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99,777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1,728,288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All Other Former Employees</w:t>
            </w:r>
            <w:r>
              <w:rPr>
                <w:rFonts w:ascii="Arial" w:cs="Arial" w:eastAsia="Arial" w:hAnsi="Arial"/>
                <w:sz w:val="15"/>
                <w:szCs w:val="15"/>
                <w:color w:val="auto"/>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667,185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124,702</w:t>
            </w: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542,483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Non-Employee Investors</w:t>
            </w:r>
            <w:r>
              <w:rPr>
                <w:rFonts w:ascii="Arial" w:cs="Arial" w:eastAsia="Arial" w:hAnsi="Arial"/>
                <w:sz w:val="15"/>
                <w:szCs w:val="15"/>
                <w:color w:val="auto"/>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2,482,656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2,082,656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640" w:right="120" w:hanging="436"/>
        <w:spacing w:after="0" w:line="295" w:lineRule="auto"/>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together as a single class. Each share of Class A common stock will be entitled to one vote per share, and each share of Class B common stock will be entitled to 10 votes per share. The Class A common stock and Class B common stock will vote together on all matters (including the election of directors) submitted to a vote of stockholders, except under limited circumstances described in “Description of Capital Stock—Class A Common Stock and Class B</w:t>
      </w:r>
    </w:p>
    <w:p>
      <w:pPr>
        <w:spacing w:after="0" w:line="162" w:lineRule="exact"/>
        <w:rPr>
          <w:sz w:val="20"/>
          <w:szCs w:val="20"/>
          <w:color w:val="auto"/>
        </w:rPr>
      </w:pPr>
    </w:p>
    <w:p>
      <w:pPr>
        <w:ind w:left="640" w:right="20" w:hanging="436"/>
        <w:spacing w:after="0" w:line="252"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(i) 26,908,848 shares of Class B common stock held of record by Emergence Capital Partners III, L.P. (Emergence), (ii) 3,277,836 shares of Class B common stock held of record by EZP Opportunity, L.P. (EZP) and (iii) 214,167 shares of Class B common stock held of record by Red Porphyry, LLC (Red Porphyry), and together with Emergence and EZP, the Emergence Entities. Emergence GP Partners, LLC (EGP) is the sole general partner of Emergence Equity Partners III, L.P. (EEP III), which is the sole general partner of Emergence and EZP. Mr. Subotovsky, one of our directors, is a member of EEP III and shares voting and investment control with respect to the shares held by the Emergence Entities. The address for Emergence and EZP is 160 Bovet Road, Suite 300, San Mateo, California 94402. The address for Red Porphyry is 635 Knight Way, Stanford, California 94305.</w:t>
      </w:r>
    </w:p>
    <w:p>
      <w:pPr>
        <w:spacing w:after="0" w:line="5" w:lineRule="exact"/>
        <w:rPr>
          <w:rFonts w:ascii="Arial" w:cs="Arial" w:eastAsia="Arial" w:hAnsi="Arial"/>
          <w:sz w:val="18"/>
          <w:szCs w:val="18"/>
          <w:color w:val="auto"/>
        </w:rPr>
      </w:pPr>
    </w:p>
    <w:p>
      <w:pPr>
        <w:ind w:left="640" w:right="60" w:hanging="436"/>
        <w:spacing w:after="0" w:line="261"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(i) 6,672,044 shares of Class B common stock held of record by Sequoia Capital Global Growth Fund II, L.P. (SC GGFII); (ii) 82,704 shares of Class B common stock held of record by Sequoia Capital</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66" w:lineRule="auto"/>
        <w:rPr>
          <w:sz w:val="20"/>
          <w:szCs w:val="20"/>
          <w:color w:val="auto"/>
        </w:rPr>
      </w:pPr>
      <w:r>
        <w:rPr>
          <w:rFonts w:ascii="Arial" w:cs="Arial" w:eastAsia="Arial" w:hAnsi="Arial"/>
          <w:sz w:val="17"/>
          <w:szCs w:val="17"/>
          <w:color w:val="auto"/>
        </w:rPr>
        <w:t>Global Growth II Principals Fund, L.P. (SC GGFII PF); (iii) 194,538 shares of Class B common stock held of record by Sequoia Capital U.S. Growth Fund V, LP (SC US GFV); (iv) 19,402,643 shares of Class B common stock held of record by Sequoia Capital U.S. Growth Fund VII, LP (SC US GFVII); and (v) 1,262,647 shares of Class B common stock held of record by Sequoia U.S. Growth VII Principals Fund, LP (SC US GFVII PF). SC US (TTGP), Ltd. is (i) the general partner of SC Global Growth II Management, L.P., which is the general partner of each of SC GGFII and SC GGFII PF (collectively, the SC GGFII Funds), (ii) the general partner of SCGF V Management, L.P., which is the general partner of SC US GFV, and (iii) the general partner of SC U.S. Growth VII Management, L.P., which is the general partner of each of SC US GFVII and SC US GFVII PF (collectively, the SC US GFVII Funds). As a result, SC US (TTGP), Ltd. may be deemed to share voting and dispositive power with respect to the shares held by the SC GGFII Funds, SC US GFV and the SC US GFVII Funds. In addition, the directors and stockholders of SC US (TTGP), Ltd. who exercise voting and investment discretion with respect to the SC GGFII Funds are Douglas M. Leone and Michael Abramson. As a result, and by virtue of the relationships described in this footnote, each such person may be deemed to share voting and dispositive power with respect to the shares held by the SC GGFII Funds. The address for each of the Sequoia Capital entities identified in this footnote is 2800 Sand Hill Road, Suite 101, Menlo Park, California 94025.</w:t>
      </w:r>
    </w:p>
    <w:p>
      <w:pPr>
        <w:spacing w:after="0" w:line="8" w:lineRule="exact"/>
        <w:rPr>
          <w:sz w:val="20"/>
          <w:szCs w:val="20"/>
          <w:color w:val="auto"/>
        </w:rPr>
      </w:pPr>
    </w:p>
    <w:p>
      <w:pPr>
        <w:ind w:left="640" w:right="20" w:hanging="436"/>
        <w:spacing w:after="0" w:line="265" w:lineRule="auto"/>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21,273,357 shares of Class B common stock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ind w:left="640" w:right="16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14,715,641 shares of Class B common stock held of record by Bucantini Enterprises Limited (Bucantini). Bucantini is wholly owned by Prime Doyen Limited, which is wholly owned by Mayspin Management Limited (Mayspin). Mayspin is wholly owned by Mr. Li Ka-shing. The address for Bucantini is c/o 7/F, Cheung Kong Center, 2 Queen’s Road Central, Hong Kong.</w:t>
      </w:r>
    </w:p>
    <w:p>
      <w:pPr>
        <w:spacing w:after="0" w:line="1"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1,980,000 shares of Class A common stock held of record by Bin Yuan, trustee of the Trust for Allen under the 2018 Yuan’s Children’s Irrevocable Trust (Allen Trust), (ii) 1,980,000 shares of Class A common stock held of record by Bin Yuan, trustee of the Trust for Callie under the 2018 Yuan’s Children’s Irrevocable Trust (Callie Trust), and (iii) 1,980,000 shares of Class A common stock held of record by Bin Yuan, trustee of the Trust for Roy under the 2018 Yuan’s Children’s Irrevocable Trust (Roy Trust). Bin Yuan, an immediate family member of Eric S. Yuan, holds voting and investment control over the shares held by Allen Trust, Callie Trust, and Roy Trust. 333,333 shares of Class A common stock are being offered by Allen Trust, 333,333 shares of Class A common stock are being offered by Callie Trust, and 333,333 shares of Class A common stock are being offered by Roy Trust.</w:t>
      </w:r>
    </w:p>
    <w:p>
      <w:pPr>
        <w:spacing w:after="0" w:line="1" w:lineRule="exact"/>
        <w:rPr>
          <w:rFonts w:ascii="Arial" w:cs="Arial" w:eastAsia="Arial" w:hAnsi="Arial"/>
          <w:sz w:val="17"/>
          <w:szCs w:val="17"/>
          <w:color w:val="auto"/>
        </w:rPr>
      </w:pPr>
    </w:p>
    <w:p>
      <w:pPr>
        <w:ind w:left="640" w:right="20" w:hanging="436"/>
        <w:spacing w:after="0" w:line="281" w:lineRule="auto"/>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(i) 26,852,864 shares of Class B common stock held of record by Mr. Yuan, (ii) 10,000,000 shares of Class B common stock held of record by Zheng Yuan and Hongyu Zhang, cotrustees of the Zheng Yuan 2019 Grantor Retained Annuity Trust, for which Mr. Yuan and his spouse serve as cotrustees, (iii) 10,000,000 shares of Class B common stock held of record by Zheng Yuan and Hongyu Zhang, cotrustees of the Hongyu Zhang 2019 Grantor Retained Annuity Trust, for which Mr. Yuan and his spouse serve as cotrustees, (iv) 8,000 shares of Class B common stock held pursuant to the proxies described below and (v) 404,985 shares of Class B common stock subject to options exercisable within 60 days of March 31, 2019, of which 83,334 shares of Class B common stock are vested as of such date. Each of Zilin Liu and Bin Yuan, immediate family members of Mr. Yuan, have granted Mr. Yuan a proxy to vote the shares held of record by them, which will terminate upon the earlier of (i) the expiration of the lock-up period following this offering, (ii) a liquidation event as defined in our amended and restated certificate of incorporation, (iii) the conversion of the shares held of record into shares of Class A Common Stock and (iv) the agreement of the parties. 583,787 shares of Class B common stock are being offered by Mr. Yuan and 4,000 shares of Class B common stock are being offered by Bin Yuan.</w:t>
      </w:r>
    </w:p>
    <w:p>
      <w:pPr>
        <w:spacing w:after="0" w:line="6" w:lineRule="exact"/>
        <w:rPr>
          <w:rFonts w:ascii="Arial" w:cs="Arial" w:eastAsia="Arial" w:hAnsi="Arial"/>
          <w:sz w:val="16"/>
          <w:szCs w:val="16"/>
          <w:color w:val="auto"/>
        </w:rPr>
      </w:pPr>
    </w:p>
    <w:p>
      <w:pPr>
        <w:ind w:left="640" w:right="18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400,000 shares of Class B common stock held of record by Mr. Chadwick, of which 250,000 shares of Class B common stock are subject to repurchase by us at the original issue price as of March 31, 2019.</w:t>
      </w:r>
    </w:p>
    <w:p>
      <w:pPr>
        <w:ind w:left="640" w:right="740" w:hanging="436"/>
        <w:spacing w:after="0" w:line="290" w:lineRule="auto"/>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Mr. Eschenbach, a member of our board of directors, is a general partner at Sequoia Capital Operations, LLC. Mr. Eschenbach disclaims beneficial ownership of all shares held by the Sequoia Capital entities referred to in footnote 2 above.</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20" w:hanging="436"/>
        <w:spacing w:after="0" w:line="258"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1,202,720 shares of Class B common stock held of record by Mr. Gassner, of which 180,408 shares of Class B common stock are subject to repurchase by us at the original issue price as of March 31, 2019.</w:t>
      </w:r>
    </w:p>
    <w:p>
      <w:pPr>
        <w:spacing w:after="0" w:line="1" w:lineRule="exact"/>
        <w:rPr>
          <w:rFonts w:ascii="Arial" w:cs="Arial" w:eastAsia="Arial" w:hAnsi="Arial"/>
          <w:sz w:val="18"/>
          <w:szCs w:val="18"/>
          <w:color w:val="auto"/>
        </w:rPr>
      </w:pPr>
    </w:p>
    <w:p>
      <w:pPr>
        <w:ind w:left="640" w:right="20" w:hanging="436"/>
        <w:spacing w:after="0" w:line="281" w:lineRule="auto"/>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(i) 16,797 shares of Class B common stock held of record by Ms. Hammonds and (ii) 150,000 shares of Class B common stock subject to options exercisable within 60 days of March 31, 2019, of which 25,000 shares of Class B common stock are vested as of such date.</w:t>
      </w:r>
    </w:p>
    <w:p>
      <w:pPr>
        <w:spacing w:after="0" w:line="1" w:lineRule="exact"/>
        <w:rPr>
          <w:rFonts w:ascii="Arial" w:cs="Arial" w:eastAsia="Arial" w:hAnsi="Arial"/>
          <w:sz w:val="16"/>
          <w:szCs w:val="16"/>
          <w:color w:val="auto"/>
        </w:rPr>
      </w:pPr>
    </w:p>
    <w:p>
      <w:pPr>
        <w:ind w:left="640" w:right="20" w:hanging="436"/>
        <w:spacing w:after="0" w:line="281" w:lineRule="auto"/>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(i) 1,056,960 shares of Class B common stock held of record by Dan &amp; Zoe Scheinman Trust Dated 2/23/01, for which Mr. Scheinman serves as trustee, (ii) 1,689,412 shares of Class B common stock held of record by The 2017 Scheinman Irrevocable Trust, for which</w:t>
      </w:r>
    </w:p>
    <w:p>
      <w:pPr>
        <w:spacing w:after="0" w:line="1" w:lineRule="exact"/>
        <w:rPr>
          <w:rFonts w:ascii="Arial" w:cs="Arial" w:eastAsia="Arial" w:hAnsi="Arial"/>
          <w:sz w:val="16"/>
          <w:szCs w:val="16"/>
          <w:color w:val="auto"/>
        </w:rPr>
      </w:pPr>
    </w:p>
    <w:p>
      <w:pPr>
        <w:ind w:left="640" w:right="380"/>
        <w:spacing w:after="0" w:line="250" w:lineRule="auto"/>
        <w:rPr>
          <w:rFonts w:ascii="Arial" w:cs="Arial" w:eastAsia="Arial" w:hAnsi="Arial"/>
          <w:sz w:val="16"/>
          <w:szCs w:val="16"/>
          <w:color w:val="auto"/>
        </w:rPr>
      </w:pPr>
      <w:r>
        <w:rPr>
          <w:rFonts w:ascii="Arial" w:cs="Arial" w:eastAsia="Arial" w:hAnsi="Arial"/>
          <w:sz w:val="18"/>
          <w:szCs w:val="18"/>
          <w:color w:val="auto"/>
        </w:rPr>
        <w:t>Mr. Scheinman serves as trustee and (iii) 100,000 shares of Class B common stock subject to options exercisable within 60 days of March 31, 2019, of which 12,500 shares of Class B common stock are vested as of such date.</w:t>
      </w:r>
    </w:p>
    <w:p>
      <w:pPr>
        <w:ind w:left="640" w:right="10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the shares listed in footnote 1 above. Mr. Subotovsky is a member of EEP III and shares voting and investment control with respect to the shares held by the Emergence Entities.</w:t>
      </w:r>
    </w:p>
    <w:p>
      <w:pPr>
        <w:ind w:left="640" w:right="18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44,648 shares of Class B common stock held of record by Beyond Merits Limited, for which Mr. Swanson is a director and shareholder and shares voting and investment control with respect to such shares, and (ii) 85,908 shares of Class B common stock held of record by Mr. Swanson.</w:t>
      </w:r>
    </w:p>
    <w:p>
      <w:pPr>
        <w:spacing w:after="0" w:line="1" w:lineRule="exact"/>
        <w:rPr>
          <w:rFonts w:ascii="Arial" w:cs="Arial" w:eastAsia="Arial" w:hAnsi="Arial"/>
          <w:sz w:val="18"/>
          <w:szCs w:val="18"/>
          <w:color w:val="auto"/>
        </w:rPr>
      </w:pPr>
    </w:p>
    <w:p>
      <w:pPr>
        <w:ind w:left="640" w:right="8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1,740,000 shares of Class B common stock held of record by Mr. Holmes and (ii) 170,000 shares of Class B common stock subject to options exercisable within 60 days of March 31, 2019, all of which are vested as of such date.</w:t>
      </w:r>
    </w:p>
    <w:p>
      <w:pPr>
        <w:ind w:left="640" w:right="14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333,333 shares of Class B common stock held of record by Ms. Pelosi and (ii) 160,417 shares of Class B common stock subject to options exercisable within 60 days of March 31, 2019, all of which are vested as of such date.</w:t>
      </w:r>
    </w:p>
    <w:p>
      <w:pPr>
        <w:ind w:left="640" w:right="2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360,000 shares of Class B common stock held of record by Rafik Bawa and Aparna Bawa, as Trustees of the Bawa Family Trust under agreement dated November 12, 2013, for which Ms. Bawa and her spouse serve as trustees, all of which are subject to repurchase by us at the original issue price as of March 31, 2019.</w:t>
      </w:r>
    </w:p>
    <w:p>
      <w:pPr>
        <w:spacing w:after="0" w:line="1" w:lineRule="exact"/>
        <w:rPr>
          <w:rFonts w:ascii="Arial" w:cs="Arial" w:eastAsia="Arial" w:hAnsi="Arial"/>
          <w:sz w:val="18"/>
          <w:szCs w:val="18"/>
          <w:color w:val="auto"/>
        </w:rPr>
      </w:pPr>
    </w:p>
    <w:p>
      <w:pPr>
        <w:ind w:left="640" w:right="18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82,704,979 shares of Class B common stock beneficially owned by our current executive officers and directors, of which 790,408 shares of Class B common stock may be repurchased by us at the original purchase price as of March 31, 2019, and (ii) 1,921,916 shares of Class B common stock subject to options exercisable within 60 days of March 31, 2019, of which 516,931 shares of Class B common stock are vested as of such date.</w:t>
      </w:r>
    </w:p>
    <w:p>
      <w:pPr>
        <w:spacing w:after="0" w:line="1" w:lineRule="exact"/>
        <w:rPr>
          <w:rFonts w:ascii="Arial" w:cs="Arial" w:eastAsia="Arial" w:hAnsi="Arial"/>
          <w:sz w:val="18"/>
          <w:szCs w:val="18"/>
          <w:color w:val="auto"/>
        </w:rPr>
      </w:pPr>
    </w:p>
    <w:p>
      <w:pPr>
        <w:ind w:left="640" w:right="8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300,000 shares of Class A common stock held of record by National Philanthropic Trust. The address for National Philanthropic Trust is c/o 165 Township Line Road, Suite 1200, Jenkintown, PA 19046.</w:t>
      </w:r>
    </w:p>
    <w:p>
      <w:pPr>
        <w:ind w:left="640" w:right="6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5,272,588 shares of Class B common stock held of record by AME Cloud Ventures, LLC. The address for AME Cloud Ventures, LLC is c/o 720 University Avenue, Suite 200, Los Gatos, CA 95032.</w:t>
      </w:r>
    </w:p>
    <w:p>
      <w:pPr>
        <w:ind w:left="64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9,629,939 shares of Class B common stock held of record by Puccini World Limited. The address for Puccini World Limited is c/o 7/F, Cheung Kong Center, 2 Queen’s Road Central, Hong Kong.</w:t>
      </w:r>
    </w:p>
    <w:p>
      <w:pPr>
        <w:ind w:left="640" w:right="6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4,229,832 shares of Class B common stock held of record by QUALCOMM Incorporated and (ii) 14,552 shares of Class B common stock held of record by Qualcomm Global Trading Pte. Ltd. The address for QUALCOMM Incorporated and Qualcomm Global Trading Pte. Ltd. is 5775 Morehouse Drive, San Diego, CA 92121.</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2,895,000 shares of Class B common stock held of record by Mr. Berman, (ii) 60,000 shares of Class B common stock held of record by Jakson Bates Berman Irrevocable Family Protection Trust (Jakson Trust), (iii) 60,000 shares of Class B common stock held of record by Tyler David Berman Irrevocable Family Protection Trust (Tyler Trust) and (iv) 60,000 shares of Class B common stock held of record by Zakary Cole Berman Irrevocable Family Protection Trust (Zakary Trust). Mr. Berman holds voting and investment control over the shares held by Jakson Trust, Tyler Trust, and Zakary Trust. 250,000 shares of Class B common stock are being offered by Mr. Berman. Mr. Berman is a former employee of the company.</w:t>
      </w:r>
    </w:p>
    <w:p>
      <w:pPr>
        <w:spacing w:after="0" w:line="2"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2,550,000 shares of Class B common stock held of record by Mr. Zhang and (ii) 22,500 shares of Common Stock subject to options exercisable within 60 days of March 31, 2019, all of which are vested as of such date.</w:t>
      </w:r>
    </w:p>
    <w:p>
      <w:pPr>
        <w:jc w:val="both"/>
        <w:ind w:left="640" w:right="280" w:hanging="436"/>
        <w:spacing w:after="0" w:line="255"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selling stockholders not otherwise listed in this table who within the groups indicated collectively own less than 1% of our Class B common stock. Includes the number of shares that such selling stockholders have the right to acquire pursuant to options that may be exercised within 60 days of March 31, 2019.</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following is a summary of the rights of our common and preferred stock and some of the provisions of our amended and restated certificate of incorporation and amended and restated bylaws, which will each become effective upon the completion of this offering, the amended and restated investors’ rights agreement and relevant provisions of Delaware General Corporation Law. The descriptions herein are qualified in their entirety by our amended and restated certificate of incorporation, amended and restated bylaws and amended and restated investors’ rights agreement, copies of which have been filed as exhibits to the registration statement of which this prospectus is a part, as well as the relevant provisions of Delaware General Corporation Law.</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amended and restated certificate of incorporation provides for two classes of common stock: Class A common stock and Class B common stock.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66"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Upon the completion of this offering, our authorized capital stock will consist of the following shares, all with a par value of $0.001 per share, of which:</w:t>
      </w:r>
    </w:p>
    <w:p>
      <w:pPr>
        <w:spacing w:after="0" w:line="76" w:lineRule="exact"/>
        <w:rPr>
          <w:sz w:val="20"/>
          <w:szCs w:val="20"/>
          <w:color w:val="auto"/>
        </w:rPr>
      </w:pPr>
    </w:p>
    <w:p>
      <w:pPr>
        <w:ind w:left="1060" w:hanging="424"/>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2,000,000,000 shares are designated as Class A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300,000,000 shares are designated as Class B common stock;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200,000,000 shares are designated as preferred stock.</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As of January 31, 2019, we had no shares of Class A common stock, 90,327,435 shares of Class B common stock and 152,665,804 shares of preferred stock outstanding (without giving effect to the conversion of outstanding convertible promissory notes or the shares to be sold in this offering or the concurrent private placement). After giving effect to the conversion of all outstanding shares of preferred stock into shares of Class B common stock immediately upon the completion of this offering, there would have been 242,993,239 shares of Class B common stock outstanding on January 31, 2019, held by 391 stockholders of record. As of January 31, 2019, we had outstanding options to acquire 35,064,465 shares of Class B common stock.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 A and Class B Common Stock</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All issued and outstanding shares of our Class A common stock and Class B common stock will be duly authorized, validly issued, fully paid and non-assessable. All authorized but unissued shares of our Class A common stock and Class B common stock will be available for issuance by our board of directors without any further stockholder action, except as required by the listing standards of The Nasdaq Stock Market. Our amended and restated certificate of incorporation will provide that, except with respect to voting rights and conversion rights, the Class A common stock and Class B common stock are treated equally and identically.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Holders of Class A common stock will be entitled to one vote per share on all matters to be voted upon by the stockholders, and holders of Class B common stock will be entitled to 10 votes per share on all matters to be voted upon by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common stock or amend our certificate of incorporation to alter the powers, preferences or special rights of the common stock as a whole in a way that would adversely affect the holders of our Class A common stock.</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8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provide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7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not provide for cumulative voting for the election of directors.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Holders of Class A common stock and Class B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Mr. Yuan, (ii) the date that is six months following the date that Eric S.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Class A common stock and Class B common stock will have no preemptive rights pursuant to the terms of our amended and restated certificate of incorporation and our amended and restated bylaws. There will be no redemption or sinking fund provisions applicable to the Class A common stock and Class B common stock. 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January 31, 2019, there were 152,665,804 shares of preferred stock outstanding. Immediately upon the completion of this offering, each outstanding share of preferred stock will convert into one share of Class B common stock.</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Upon the completion of this offering, 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of January 31, 2019, we had outstanding options under our equity compensation plans to purchase an aggregate of 35,064,465 shares of our Class B common stock, with a weighted-average exercise price of $1.48 per share.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preferred stock, including certain holders of at least 1%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7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completion of this offering, of which this prospectus is a part, or with respect to any particular stockholder, such time after the completion of this offering that such stockholder can sell all of its shares entitled to registration rights under Rule 144 of the Securities Act during any 90-day period.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holders of an aggregate of 156,171,668 shares of our Class B common stock will be entitled to certain demand registration rights. At any time beginning 180 days after the completion of this offering,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$10 million.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connection with this offering, the holders of an aggregate of 209,264,532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and the shares to be sold in the concurrent private placement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solely to employee benefit plans, (ii) a registration relating to the offer and sale of debt securities, (iii) a registration relating to a corporate reorganization or other Rule 145 transaction, or (iv)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holders of an aggregate of 156,171,668 shares of 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 million. We will not be required to effect more than two registrations on Form S-3 within any 12-month period.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80"/>
        <w:spacing w:after="0" w:line="264" w:lineRule="auto"/>
        <w:rPr>
          <w:sz w:val="20"/>
          <w:szCs w:val="20"/>
          <w:color w:val="auto"/>
        </w:rPr>
      </w:pPr>
      <w:r>
        <w:rPr>
          <w:rFonts w:ascii="Arial" w:cs="Arial" w:eastAsia="Arial" w:hAnsi="Arial"/>
          <w:sz w:val="18"/>
          <w:szCs w:val="18"/>
          <w:color w:val="auto"/>
        </w:rPr>
        <w:t>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1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As described above in “—Class A and Class B Common Stock—Voting Rights,”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chairperson of the board, chief executive officer, or by a resolution adopted by a majority of our board of directors.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will also provide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1100" w:firstLine="441"/>
        <w:spacing w:after="0" w:line="342" w:lineRule="auto"/>
        <w:rPr>
          <w:sz w:val="20"/>
          <w:szCs w:val="20"/>
          <w:color w:val="auto"/>
        </w:rPr>
      </w:pPr>
      <w:r>
        <w:rPr>
          <w:rFonts w:ascii="Arial" w:cs="Arial" w:eastAsia="Arial" w:hAnsi="Arial"/>
          <w:sz w:val="16"/>
          <w:szCs w:val="16"/>
          <w:color w:val="auto"/>
        </w:rPr>
        <w:t>Upon completion of this offering, the transfer agent and registrar for our Class A common stock and Class B common stock will be Computershare Trust Company, N.A. The transfer agent and registrar’s address is 250 Royall Street, Canton, Massachusetts 02021.</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Class A common stock is currently not listed on any securities exchange. We have been approved to have our Class A common stock listed on The Nasdaq Global Select Market under the symbol “ZM.”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have been approved to have our Class A common stock listed on The Nasdaq Global Select Market, we cannot assure you that there will be an active public market for our Class A common stock.</w:t>
      </w:r>
    </w:p>
    <w:p>
      <w:pPr>
        <w:spacing w:after="0" w:line="18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Following the completion of this offering and the concurrent private placement, based on the number of shares of our Class A common stock and Class B common stock outstanding as of January 31, 2019 and assuming (i) the issuance of shares of Class A common stock in this offering, (ii) the conversion of all outstanding shares of our convertible preferred stock into 152,665,804 shares of Class B common stock, which will automatically occur immediately prior to the completion of the offering, (iii) the conversion of 10,674,954 shares of Class B common stock into Class A common stock upon the sale of such shares by the selling stockholders, as well as the issuance of 283,177 shares of our Class B common stock and the subsequent conversion of such shares into an equivalent number of shares of our Class A common stock upon the exercise of options held by certain selling stockholders in connection with the sale of such shares by such selling stockholders in this offering and (iv) no exercise of the underwriters’ over-allotment option, we will have outstanding an aggregate of approximately 24,258,353 shares of Class A common stock and 232,318,285 shares of Class B common stock.</w:t>
      </w:r>
    </w:p>
    <w:p>
      <w:pPr>
        <w:spacing w:after="0" w:line="182"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Of these shares, all shares of Class A common stock sold in this offering will be freely tradable without restriction or further registration under the Securities Act, except for any shares of Class A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4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Class B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All of these shares will be subject to a 180-day lock-up period under the lock-up agreements and market standoff agreements described below.</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of the 35,064,465 shares of our Class B common stock that were subject to stock options outstanding as of January 31, 2019, of which options to purchase 19,132,388 shares of Class B common stock were vested as of such date, upon exercise, these shares will be eligible for sale subject to the lock–up agreements described below and Rules 144 and 701 under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21" w:lineRule="exact"/>
        <w:rPr>
          <w:sz w:val="20"/>
          <w:szCs w:val="20"/>
          <w:color w:val="auto"/>
        </w:rPr>
      </w:pPr>
    </w:p>
    <w:p>
      <w:pPr>
        <w:ind w:left="200" w:right="200" w:firstLine="441"/>
        <w:spacing w:after="0" w:line="254" w:lineRule="auto"/>
        <w:rPr>
          <w:sz w:val="20"/>
          <w:szCs w:val="20"/>
          <w:color w:val="auto"/>
        </w:rPr>
      </w:pPr>
      <w:r>
        <w:rPr>
          <w:rFonts w:ascii="Arial" w:cs="Arial" w:eastAsia="Arial" w:hAnsi="Arial"/>
          <w:sz w:val="18"/>
          <w:szCs w:val="18"/>
          <w:color w:val="auto"/>
        </w:rPr>
        <w:t>We, along with our directors, executive officers and substantially all of our other stockholders and optionholders, have agreed with the underwriters that for a period of 180 days after the date of this prospectus, subject to specified exceptions as detailed further in “Underwriters” below, we or they will not offer, pledge, sell, contract to sell, sell any option or contract to purchase, purchase any option or contract to sell, grant any option, right or warrant for the sale of, or otherwise dispose of or transfer any shares of Class A common stock and Class B common stock or any securities convertible into or exercisable or exchangeable for shares of Class A common stock and Class B common stock, request or demand that we file a registration statement related to our common stock or enter into any swap or other agreement that transfers to another, in whole or in part, directly or indirectly, the economic consequence of ownership of the common stock. All of our stockholders are subject to a market stand-off agreement with us that imposes similar restrictions.</w:t>
      </w: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shares sold in the concurrent private placement to Salesforce Ventures LLC will be subject to a market standoff agreement with us for a period of up to 365 days after the date of this prospectus and will be subject to a lock-up agreement with the underwriters for a period of 180 days after the date of this prospectus.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Upon expiration of the lock-up period, certain of our stockholders will have the right to require us to register their shares under the Securities Act. See “—Registration Rights” below and “Description of Capital Stock—Registration Rights.”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and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92" w:lineRule="exact"/>
        <w:rPr>
          <w:sz w:val="20"/>
          <w:szCs w:val="20"/>
          <w:color w:val="auto"/>
        </w:rPr>
      </w:pPr>
    </w:p>
    <w:p>
      <w:pPr>
        <w:ind w:left="1060" w:right="30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242,584 shares immediately after this offering and the concurrent private placement; or</w:t>
      </w:r>
    </w:p>
    <w:p>
      <w:pPr>
        <w:spacing w:after="0" w:line="75" w:lineRule="exact"/>
        <w:rPr>
          <w:rFonts w:ascii="Arial" w:cs="Arial" w:eastAsia="Arial" w:hAnsi="Arial"/>
          <w:sz w:val="18"/>
          <w:szCs w:val="18"/>
          <w:color w:val="auto"/>
        </w:rPr>
      </w:pPr>
    </w:p>
    <w:p>
      <w:pPr>
        <w:ind w:left="1060" w:right="46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The Nasdaq Global Select Market during the four calendar weeks preceding the filing of a notice on Form 144 with respect to such sale.</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concurrently with either the placing of a sale order with the broker or the execution of a sale directly with a market maker.</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Rule 144 and by “affiliates” under Rule 144 without compliance with its one-year minimum holding period requirement. However, substantially all Rule 701 shares are subject to lock-up agreements as described above and will become eligible for sale upon the expiration of the restrictions set forth in those agreements.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S-8 Registration Statement</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Class B common stock subject to outstanding stock options and Class A common stock issued or issuable under the 2019 Plan, the 2011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As of January 31, 2019, holders of up to 209,264,532 shares of our Class B common stock, which includes all of the shares of Class B common stock issuable upon the automatic conversion of our convertible preferred stock immediately prior to the completion of this offering and the concurrent private placement,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4" w:lineRule="exact"/>
        <w:rPr>
          <w:sz w:val="20"/>
          <w:szCs w:val="20"/>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130" w:lineRule="exact"/>
        <w:rPr>
          <w:rFonts w:ascii="Arial" w:cs="Arial" w:eastAsia="Arial" w:hAnsi="Arial"/>
          <w:sz w:val="18"/>
          <w:szCs w:val="18"/>
          <w:color w:val="auto"/>
        </w:rPr>
      </w:pPr>
    </w:p>
    <w:p>
      <w:pPr>
        <w:ind w:left="1060" w:right="980" w:hanging="424"/>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240" w:top="459"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7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As described under the section titled “Dividend Policy,”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6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withholding agent, either directly or through other intermediaries.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76" w:lineRule="exact"/>
        <w:rPr>
          <w:sz w:val="20"/>
          <w:szCs w:val="20"/>
          <w:color w:val="auto"/>
        </w:rPr>
      </w:pPr>
    </w:p>
    <w:p>
      <w:pPr>
        <w:ind w:left="1060" w:right="420" w:hanging="424"/>
        <w:spacing w:after="0" w:line="264"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6" w:lineRule="exact"/>
        <w:rPr>
          <w:rFonts w:ascii="Arial" w:cs="Arial" w:eastAsia="Arial" w:hAnsi="Arial"/>
          <w:sz w:val="18"/>
          <w:szCs w:val="18"/>
          <w:color w:val="auto"/>
        </w:rPr>
      </w:pPr>
    </w:p>
    <w:p>
      <w:pPr>
        <w:ind w:left="1060" w:right="64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40" w:hanging="424"/>
        <w:spacing w:after="0" w:line="279"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6"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Under the applicable Treasury Regulations and administrative guidance, withholding under FATCA generally applies to payments of dividends on our common stock, and will apply to payments of gross proceeds from the sale or other disposition of such stock on or after January 1, 2019, although under recently issued proposed regulations (the preamble to which specifies that taxpayers are permitted to rely on such proposed regulations pending finalization), no withholding would apply with respect to payments of gross proceeds.</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 P. Morgan Securities LLC and Goldman Sachs &amp; Co. LLC are acting as representatives, have severally agreed to purchase, and we and the selling stockholders have agreed to sell to them, severally, the number of shares indicated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Name</w:t>
            </w: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J. P. Morgan Securities LLC</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Incorporated</w:t>
            </w: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Piper Jaffray &amp; Co.</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20,869,565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Class A common stock subject to their receipt and acceptance of the shares from us and the selling stockholders and subject to prior sale and the underwriters’ right to reject any order in whole or in part.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9"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and the selling stockholders have granted to the underwriters an option, exercisable for 30 days from the date of this prospectus, to purchase up to 3,130,435 additional shares of Class A common stock at the public offering price listed on the cover page of this prospectus, less underwriting discounts and commissions. The underwriters may exercise this option solely for the purpose of covering the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over-allotment option.</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1280" w:type="dxa"/>
            <w:vAlign w:val="bottom"/>
            <w:tcBorders>
              <w:top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9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1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26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The selling stockholders</w:t>
            </w:r>
          </w:p>
        </w:tc>
        <w:tc>
          <w:tcPr>
            <w:tcW w:w="26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6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6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estimated expenses related to the offering and the concurrent private placement payable by us, exclusive of the underwriting discounts and commissions, are approximately $4.5 million. The underwriters have agreed to reimburse us for certain of these expenses. We have agreed to reimburse the underwriters for expenses relating to clearance of this offering with the Financial Industry Regulatory Authority (FINRA) up to $35,000.</w:t>
      </w:r>
    </w:p>
    <w:p>
      <w:pPr>
        <w:spacing w:after="0" w:line="14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been approved to list our Class A common stock on The Nasdaq Global Select Market under the trading symbol “ZM”.</w:t>
      </w:r>
    </w:p>
    <w:p>
      <w:pPr>
        <w:spacing w:after="0" w:line="225"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We and all directors and officers and the holders of all of our outstanding stock and equity securities have agreed that, without the prior written consent of Morgan Stanley &amp; Co. LLC, J. P. Morgan Securities LLC and Goldman Sachs &amp; Co. LLC on behalf of the underwriters, we and they will not, during the period ending 180 days after the date of this prospectus, or the restricted period:</w:t>
      </w:r>
    </w:p>
    <w:p>
      <w:pPr>
        <w:spacing w:after="0" w:line="87" w:lineRule="exact"/>
        <w:rPr>
          <w:sz w:val="20"/>
          <w:szCs w:val="20"/>
          <w:color w:val="auto"/>
        </w:rPr>
      </w:pPr>
    </w:p>
    <w:p>
      <w:pPr>
        <w:ind w:left="1060" w:right="60" w:hanging="424"/>
        <w:spacing w:after="0" w:line="312" w:lineRule="auto"/>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52" w:lineRule="exact"/>
        <w:rPr>
          <w:rFonts w:ascii="Arial" w:cs="Arial" w:eastAsia="Arial" w:hAnsi="Arial"/>
          <w:sz w:val="16"/>
          <w:szCs w:val="16"/>
          <w:color w:val="auto"/>
        </w:rPr>
      </w:pPr>
    </w:p>
    <w:p>
      <w:pPr>
        <w:ind w:left="1060" w:right="180" w:hanging="424"/>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J. P. Morgan Securities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 The shares sold in the concurrent private placement to Salesforce Ventures LLC will be subject to a market standoff agreement with us for a period of up to 365 days after the date of this prospectus and will be subject to a lock-up agreement with the underwriters for a period of 180 days after the date of this prospectus.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restrictions described in the immediately preceding paragraph are subject to specified exceptions, including, without limitation, the following:</w:t>
      </w:r>
    </w:p>
    <w:p>
      <w:pPr>
        <w:spacing w:after="0" w:line="154" w:lineRule="exact"/>
        <w:rPr>
          <w:sz w:val="20"/>
          <w:szCs w:val="20"/>
          <w:color w:val="auto"/>
        </w:rPr>
      </w:pPr>
    </w:p>
    <w:p>
      <w:pPr>
        <w:ind w:left="1060" w:right="12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transfers of shares of common stock acquired in open market transactions after the completion of this offering provided that no filing under Section 16 of the Exchange Act would be required or voluntarily made;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sales of shares of Class A common stock pursuant to the underwriting agreement;</w:t>
      </w:r>
    </w:p>
    <w:p>
      <w:pPr>
        <w:spacing w:after="0" w:line="130" w:lineRule="exact"/>
        <w:rPr>
          <w:rFonts w:ascii="Arial" w:cs="Arial" w:eastAsia="Arial" w:hAnsi="Arial"/>
          <w:sz w:val="18"/>
          <w:szCs w:val="18"/>
          <w:color w:val="auto"/>
        </w:rPr>
      </w:pPr>
    </w:p>
    <w:p>
      <w:pPr>
        <w:ind w:left="1060" w:right="40" w:hanging="424"/>
        <w:spacing w:after="0" w:line="279"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76" w:lineRule="exact"/>
        <w:rPr>
          <w:rFonts w:ascii="Arial" w:cs="Arial" w:eastAsia="Arial" w:hAnsi="Arial"/>
          <w:sz w:val="17"/>
          <w:szCs w:val="17"/>
          <w:color w:val="auto"/>
        </w:rPr>
      </w:pPr>
    </w:p>
    <w:p>
      <w:pPr>
        <w:ind w:left="1060" w:right="20" w:hanging="424"/>
        <w:spacing w:after="0" w:line="276"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77" w:lineRule="exact"/>
        <w:rPr>
          <w:rFonts w:ascii="Arial" w:cs="Arial" w:eastAsia="Arial" w:hAnsi="Arial"/>
          <w:sz w:val="17"/>
          <w:szCs w:val="17"/>
          <w:color w:val="auto"/>
        </w:rPr>
      </w:pPr>
    </w:p>
    <w:p>
      <w:pPr>
        <w:ind w:left="1060" w:right="20" w:hanging="424"/>
        <w:spacing w:after="0" w:line="276"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provided further that no other public announcement or filing shall be required or shall be voluntarily made during the restricted period;</w:t>
      </w:r>
    </w:p>
    <w:p>
      <w:pPr>
        <w:spacing w:after="0" w:line="77" w:lineRule="exact"/>
        <w:rPr>
          <w:rFonts w:ascii="Arial" w:cs="Arial" w:eastAsia="Arial" w:hAnsi="Arial"/>
          <w:sz w:val="17"/>
          <w:szCs w:val="17"/>
          <w:color w:val="auto"/>
        </w:rPr>
      </w:pPr>
    </w:p>
    <w:p>
      <w:pPr>
        <w:ind w:left="1060" w:hanging="424"/>
        <w:spacing w:after="0" w:line="283" w:lineRule="auto"/>
        <w:tabs>
          <w:tab w:leader="none" w:pos="10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(1) the receipt by the lock-up party of shares of common stock upon the exercise, vesting or settlement of options, restricted stock units or other equity awards granted under a stock incentive plan or other equity 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underwriters, and that in the case of (1) or (2), no public announcement or filing under Section 16 of the Exchange Act, or any other public filing or disclosure or such receipt or transfer, shall be required or shall be voluntarily made by or on behalf of the lock-up party within 60 days after the date of this prospectus, and thereafter, any filing required under Section 16 of the Exchange Act to be made during the remainder of the restricted period shall include a statement to the effect that (A) such transaction reflects the circumstances described in (1) or (2), as the case may be,</w:t>
      </w:r>
    </w:p>
    <w:p>
      <w:pPr>
        <w:spacing w:after="0" w:line="1" w:lineRule="exact"/>
        <w:rPr>
          <w:rFonts w:ascii="Arial" w:cs="Arial" w:eastAsia="Arial" w:hAnsi="Arial"/>
          <w:sz w:val="16"/>
          <w:szCs w:val="16"/>
          <w:color w:val="auto"/>
        </w:rPr>
      </w:pPr>
    </w:p>
    <w:p>
      <w:pPr>
        <w:ind w:left="1060" w:right="60"/>
        <w:spacing w:after="0" w:line="290" w:lineRule="auto"/>
        <w:rPr>
          <w:rFonts w:ascii="Arial" w:cs="Arial" w:eastAsia="Arial" w:hAnsi="Arial"/>
          <w:sz w:val="16"/>
          <w:szCs w:val="16"/>
          <w:color w:val="auto"/>
        </w:rPr>
      </w:pPr>
      <w:r>
        <w:rPr>
          <w:rFonts w:ascii="Arial" w:cs="Arial" w:eastAsia="Arial" w:hAnsi="Arial"/>
          <w:sz w:val="17"/>
          <w:szCs w:val="17"/>
          <w:color w:val="auto"/>
        </w:rPr>
        <w:t>(B) such transaction was only with the Company and (C) in the case of (1) the shares of common stock received upon exercise or settlement of the option, restricted stock units or other equity awards are subject to the lock-up agreement with the underwriters;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424"/>
        <w:spacing w:after="0" w:line="27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 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83" w:lineRule="exact"/>
        <w:rPr>
          <w:rFonts w:ascii="Arial" w:cs="Arial" w:eastAsia="Arial" w:hAnsi="Arial"/>
          <w:sz w:val="17"/>
          <w:szCs w:val="17"/>
          <w:color w:val="auto"/>
        </w:rPr>
      </w:pPr>
    </w:p>
    <w:p>
      <w:pPr>
        <w:ind w:left="1060" w:right="40" w:hanging="424"/>
        <w:spacing w:after="0" w:line="255"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98" w:lineRule="exact"/>
        <w:rPr>
          <w:rFonts w:ascii="Arial" w:cs="Arial" w:eastAsia="Arial" w:hAnsi="Arial"/>
          <w:sz w:val="18"/>
          <w:szCs w:val="18"/>
          <w:color w:val="auto"/>
        </w:rPr>
      </w:pPr>
    </w:p>
    <w:p>
      <w:pPr>
        <w:ind w:left="1060" w:right="40" w:hanging="424"/>
        <w:spacing w:after="0" w:line="25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93" w:lineRule="exact"/>
        <w:rPr>
          <w:rFonts w:ascii="Arial" w:cs="Arial" w:eastAsia="Arial" w:hAnsi="Arial"/>
          <w:sz w:val="18"/>
          <w:szCs w:val="18"/>
          <w:color w:val="auto"/>
        </w:rPr>
      </w:pPr>
    </w:p>
    <w:p>
      <w:pPr>
        <w:ind w:left="1060" w:hanging="424"/>
        <w:spacing w:after="0" w:line="25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 to the conversion of outstanding preferred stock into shares of common stock in connection with the consummation of this offering or (2) any conversion or reclassification of common stock as described in this prospectus (including the conversion of shares of Class B common stock into Class A common stock), provided that such shares of common stock received upon conversion remain subject to the terms of the lock-up agreement; provided further that in the case of (2) any filing required by Section 16 of the Exchange Act shall clearly indicate in the footnotes thereto the nature and conditions of such transfer.</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31" w:lineRule="exact"/>
        <w:rPr>
          <w:sz w:val="20"/>
          <w:szCs w:val="20"/>
          <w:color w:val="auto"/>
        </w:rPr>
      </w:pPr>
    </w:p>
    <w:p>
      <w:pPr>
        <w:ind w:left="1060" w:right="12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third through fifth bullets above, each donee, trustee, distributee or transferee shall sign and deliver a lock-up letter agreement; and</w:t>
      </w:r>
    </w:p>
    <w:p>
      <w:pPr>
        <w:spacing w:after="0" w:line="75" w:lineRule="exact"/>
        <w:rPr>
          <w:rFonts w:ascii="Arial" w:cs="Arial" w:eastAsia="Arial" w:hAnsi="Arial"/>
          <w:sz w:val="18"/>
          <w:szCs w:val="18"/>
          <w:color w:val="auto"/>
        </w:rPr>
      </w:pPr>
    </w:p>
    <w:p>
      <w:pPr>
        <w:ind w:left="1060" w:right="200" w:hanging="424"/>
        <w:spacing w:after="0" w:line="264"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third and fourth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Morgan Stanley &amp; Co. LLC, J. P. Morgan Securities LLC and Goldman Sachs &amp; Co. LLC, in their sole discretion, may release the common stock and other securities subject to the lock-up agreements described above in whole or in part at any time, provided that, if the stockholder is one of our officers or directors, Morgan Stanley &amp; Co. LLC, J.P. Morgan Securities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18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9"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the selling stockholders and the underwriters have agreed to indemnify each other against certain liabilities, including liabilities under the Securities Act.</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and their respective affiliates are our customers or have been customers from time to time and may be customers in the future in arm’s length transactions on market competitive terms.</w:t>
      </w:r>
    </w:p>
    <w:p>
      <w:pPr>
        <w:spacing w:after="0" w:line="19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the selling stockholders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Each person located in a Member State to whom any offer of securities is made or who receives any communication in respect of any offer of ordinary shares, or who initially acquires any securities will be deemed to have represented, warranted, acknowledged and agreed to and with each Representative and the Company that (i) it is a “qualified investor” within the meaning of the law in that Member State implementing Article 2(1)(e) of the Prospectus Directive; and (ii) in the case of any securities acquired by it as a financial intermediary as that term is used in Article 3(2) of the Prospectus Directive, the securities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82"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prospectus has been prepared on the basis that any offer of securities in any Member State will be made pursuant to an exemption under the Prospectus Directive from the requirement to publish a prospectus for offers of securities. Accordingly any person making or intending to make an offer in that Member State of securities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securities in circumstances in which an obligation arises for the company or the representatives to publish a prospectus for such offer.</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100" w:hanging="299"/>
        <w:spacing w:after="0" w:line="259"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180" w:hanging="310"/>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Class A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5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4"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this offering. This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Any offer in Australia of our Class A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8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w:t>
      </w:r>
    </w:p>
    <w:p>
      <w:pPr>
        <w:spacing w:after="0" w:line="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60"/>
          </w:cols>
          <w:pgMar w:left="240" w:top="460"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CONCURRENT PRIVATE PLACEMENT</w:t>
      </w:r>
    </w:p>
    <w:p>
      <w:pPr>
        <w:spacing w:after="0" w:line="229"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Immediately subsequent to the closing of this offering, Salesforce Ventures LLC will purchase from us in a private placement $100.0 million of our Class A common stock at a price per share equal to the initial public offering price. Based on an assumed initial public offering price of $34.00 per share, which is the midpoint of the estimated offering price range set forth on the cover page of this prospectus, this would be 2,941,176 shares. We will receive the full proceeds and will not pay any underwriting discounts or commissions with respect to the shares that are sold in the private placement.</w:t>
      </w:r>
    </w:p>
    <w:p>
      <w:pPr>
        <w:spacing w:after="0" w:line="2" w:lineRule="exact"/>
        <w:rPr>
          <w:sz w:val="20"/>
          <w:szCs w:val="20"/>
          <w:color w:val="auto"/>
        </w:rPr>
      </w:pPr>
    </w:p>
    <w:p>
      <w:pPr>
        <w:ind w:left="200" w:right="140"/>
        <w:spacing w:after="0" w:line="277" w:lineRule="auto"/>
        <w:rPr>
          <w:sz w:val="20"/>
          <w:szCs w:val="20"/>
          <w:color w:val="auto"/>
        </w:rPr>
      </w:pPr>
      <w:r>
        <w:rPr>
          <w:rFonts w:ascii="Arial" w:cs="Arial" w:eastAsia="Arial" w:hAnsi="Arial"/>
          <w:sz w:val="17"/>
          <w:szCs w:val="17"/>
          <w:color w:val="auto"/>
        </w:rPr>
        <w:t>The sale of the shares in the private placement is contingent upon the completion of this offering. The sale of these shares to Salesforce Ventures LLC will not be registered in this offering and will be subject to a market standoff agreement with us for a period of up to 365 days after the date of this prospectus and a lock-up agreement with the underwriters for a period of up to 180 days after the date of this prospectus.</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Palo Alto, California. Wilson Sonsini Goodrich &amp; Rosati, P.C., Palo Alto, California, is acting as counsel to the underwriters in connection with this offering. An investment fund associated with Wilson Sonsini Goodrich &amp; Rosati, P.C. owns less than 1% of our outstanding capital stock as of January 31, 2019.</w:t>
      </w:r>
    </w:p>
    <w:p>
      <w:pPr>
        <w:spacing w:after="0" w:line="35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The consolidated financial statements as of January 31, 2019 and January 31, 2018 and for each of the years in the three-year period ended January 31, 2019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the completion of this offering, we will be subject to the information reporting requirements of the Securities Exchange Act of 1934 and we will file reports, proxy statements and other information with the SEC. We also maintain a website at https://zoom.com,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240" w:top="460"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8"/>
            <w:vMerge w:val="restart"/>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8"/>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Consolidated Statements of Operations</w:t>
              </w:r>
            </w:hyperlink>
          </w:p>
        </w:tc>
        <w:tc>
          <w:tcPr>
            <w:tcW w:w="7840" w:type="dxa"/>
            <w:vAlign w:val="bottom"/>
            <w:gridSpan w:val="6"/>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Consolidated Statements of Comprehensive Income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Consolidated Statements of Cash Flows</w:t>
              </w:r>
            </w:hyperlink>
          </w:p>
        </w:tc>
        <w:tc>
          <w:tcPr>
            <w:tcW w:w="3040" w:type="dxa"/>
            <w:vAlign w:val="bottom"/>
            <w:tcBorders>
              <w:top w:val="single" w:sz="8" w:color="0000EE"/>
            </w:tcBorders>
            <w:gridSpan w:val="4"/>
          </w:tcPr>
          <w:p>
            <w:pPr>
              <w:spacing w:after="0"/>
              <w:rPr>
                <w:sz w:val="17"/>
                <w:szCs w:val="17"/>
                <w:color w:val="auto"/>
              </w:rPr>
            </w:pPr>
          </w:p>
        </w:tc>
        <w:tc>
          <w:tcPr>
            <w:tcW w:w="47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
          </w:tcPr>
          <w:p>
            <w:pPr>
              <w:ind w:left="114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Zoom Video Communications, Inc.:</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We have audited the accompanying consolidated balance sheets of Zoom Video Communications, Inc. and subsidiaries (the Company) as of January 31, 2019 and 2018, the related consolidated statements of operations, comprehensive income (loss), convertible preferred stock and stockholders’ deficit, and cash flows for each of the years in the three-year period ended January 31, 2019, and the related notes (collectively, the consolidated financial statements). In our opinion, the consolidated financial statements present fairly, in all material respects, the financial position of the Company as of January 31, 2019 and 2018, and the results of its operations and its cash flows for each of the years in the three-year period ended January 31, 2019, in conformity with U.S. generally accepted accounting principles.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22, 2019</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9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1"/>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36,146</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63,624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103,056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allowances of $560 and $2,071 as of January 31, 2018 and 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contract acquisition costs, 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276,719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215,019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2,723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Deferred revenue, 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115,122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152,341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non-current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202,452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187,233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Convertible preferred stock, $0.001 par value per share, 158,104,540 shares authorized as of January 31, 2018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5"/>
              </w:rPr>
              <w:t>and 2019, 152,665,804 issued and outstanding as of January 31, 2018 and 2019; aggregate liquidation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preference of $160,724 as of January 31, 2018 and 2019; no shares issued and outstanding 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January 31, 2019, pro forma (unaudited)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159,552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159,552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$0.001 par value per share, 320,000,000 Class A shares authorized, zero, zero,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w w:val="91"/>
              </w:rPr>
              <w:t>447,612 shares issued and outstanding as of January 31, 2018, 2019 and 2019 pro forma (unaudited),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w w:val="91"/>
              </w:rPr>
              <w:t>respectively; 300,000,000 Class B shares authorized, 82,609,638, 90,327,435 and 242,993,239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w w:val="95"/>
              </w:rPr>
              <w:t>issued and outstanding as of January 31, 2018, 2019 and 2019 pro forma (unaudited), respectively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(32,737)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(25,153)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(25,153)</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(26,671)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(7,439)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167,332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215,019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30,780</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31,580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82,707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125,531</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Distributed earnings attributable to participating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Weighted-average shares used in computing net income (loss) per share attributable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common stockholders:</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84,483,094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116,005,681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8"/>
              </w:rPr>
              <w:t>Pro forma net income per share attributable to common stockholders (unaudited):</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in computing pro forma net income per share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 (unaudited):</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237,289,926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268,812,513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Year Ended January 31,</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10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5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$(14)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$(3,822)</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$7,584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available for sale marketable securities, net of tax</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(4,353</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7,980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40" w:type="dxa"/>
            <w:vAlign w:val="bottom"/>
            <w:tcBorders>
              <w:right w:val="single" w:sz="8" w:color="auto"/>
            </w:tcBorders>
            <w:gridSpan w:val="6"/>
            <w:vMerge w:val="restart"/>
          </w:tcPr>
          <w:p>
            <w:pPr>
              <w:jc w:val="right"/>
              <w:ind w:right="580"/>
              <w:spacing w:after="0"/>
              <w:rPr>
                <w:sz w:val="20"/>
                <w:szCs w:val="20"/>
                <w:color w:val="auto"/>
              </w:rPr>
            </w:pPr>
            <w:r>
              <w:rPr>
                <w:rFonts w:ascii="Arial" w:cs="Arial" w:eastAsia="Arial" w:hAnsi="Arial"/>
                <w:sz w:val="13"/>
                <w:szCs w:val="13"/>
                <w:b w:val="1"/>
                <w:bCs w:val="1"/>
                <w:color w:val="auto"/>
              </w:rPr>
              <w:t>Convertible</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40" w:type="dxa"/>
            <w:vAlign w:val="bottom"/>
            <w:tcBorders>
              <w:right w:val="single" w:sz="8" w:color="auto"/>
            </w:tcBorders>
            <w:gridSpan w:val="6"/>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4"/>
            <w:vMerge w:val="restart"/>
          </w:tcPr>
          <w:p>
            <w:pPr>
              <w:jc w:val="right"/>
              <w:ind w:right="180"/>
              <w:spacing w:after="0" w:line="135"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40" w:type="dxa"/>
            <w:vAlign w:val="bottom"/>
            <w:tcBorders>
              <w:right w:val="single" w:sz="8" w:color="auto"/>
            </w:tcBorders>
            <w:gridSpan w:val="6"/>
            <w:vMerge w:val="restart"/>
          </w:tcPr>
          <w:p>
            <w:pPr>
              <w:jc w:val="right"/>
              <w:ind w:right="460"/>
              <w:spacing w:after="0"/>
              <w:rPr>
                <w:sz w:val="20"/>
                <w:szCs w:val="20"/>
                <w:color w:val="auto"/>
              </w:rPr>
            </w:pPr>
            <w:r>
              <w:rPr>
                <w:rFonts w:ascii="Arial" w:cs="Arial" w:eastAsia="Arial" w:hAnsi="Arial"/>
                <w:sz w:val="13"/>
                <w:szCs w:val="13"/>
                <w:b w:val="1"/>
                <w:bCs w:val="1"/>
                <w:color w:val="auto"/>
              </w:rPr>
              <w:t>Preferred Stock</w:t>
            </w:r>
          </w:p>
        </w:tc>
        <w:tc>
          <w:tcPr>
            <w:tcW w:w="180" w:type="dxa"/>
            <w:vAlign w:val="bottom"/>
          </w:tcPr>
          <w:p>
            <w:pPr>
              <w:spacing w:after="0"/>
              <w:rPr>
                <w:sz w:val="5"/>
                <w:szCs w:val="5"/>
                <w:color w:val="auto"/>
              </w:rPr>
            </w:pPr>
          </w:p>
        </w:tc>
        <w:tc>
          <w:tcPr>
            <w:tcW w:w="116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w w:val="92"/>
              </w:rPr>
              <w:t>Common Stock</w:t>
            </w:r>
          </w:p>
        </w:tc>
        <w:tc>
          <w:tcPr>
            <w:tcW w:w="22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640" w:type="dxa"/>
            <w:vAlign w:val="bottom"/>
            <w:tcBorders>
              <w:right w:val="single" w:sz="8" w:color="auto"/>
            </w:tcBorders>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jc w:val="right"/>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7"/>
                <w:szCs w:val="7"/>
                <w:color w:val="auto"/>
              </w:rPr>
            </w:pPr>
          </w:p>
        </w:tc>
        <w:tc>
          <w:tcPr>
            <w:tcW w:w="1000" w:type="dxa"/>
            <w:vAlign w:val="bottom"/>
            <w:gridSpan w:val="3"/>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20" w:type="dxa"/>
            <w:vAlign w:val="bottom"/>
            <w:gridSpan w:val="4"/>
            <w:vMerge w:val="restart"/>
          </w:tcPr>
          <w:p>
            <w:pPr>
              <w:ind w:left="140"/>
              <w:spacing w:after="0" w:line="135"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4"/>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6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3"/>
                <w:szCs w:val="13"/>
                <w:color w:val="auto"/>
              </w:rPr>
            </w:pPr>
          </w:p>
        </w:tc>
        <w:tc>
          <w:tcPr>
            <w:tcW w:w="700" w:type="dxa"/>
            <w:vAlign w:val="bottom"/>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tcPr>
          <w:p>
            <w:pPr>
              <w:ind w:left="22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top w:val="single" w:sz="8" w:color="CCEEFF"/>
            </w:tcBorders>
            <w:shd w:val="clear" w:color="auto" w:fill="CCEEFF"/>
          </w:tcPr>
          <w:p>
            <w:pPr>
              <w:jc w:val="right"/>
              <w:ind w:right="1848"/>
              <w:spacing w:after="0" w:line="142" w:lineRule="exact"/>
              <w:rPr>
                <w:sz w:val="20"/>
                <w:szCs w:val="20"/>
                <w:color w:val="auto"/>
              </w:rPr>
            </w:pPr>
            <w:r>
              <w:rPr>
                <w:rFonts w:ascii="Arial" w:cs="Arial" w:eastAsia="Arial" w:hAnsi="Arial"/>
                <w:sz w:val="14"/>
                <w:szCs w:val="14"/>
                <w:color w:val="auto"/>
                <w:w w:val="90"/>
              </w:rPr>
              <w:t>Balance as of February 1, 2016</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127,304,540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45,527</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70,679,484</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1,771</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(17,918)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(16,080)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w w:val="99"/>
              </w:rPr>
              <w:t>Issuance of Series D convertible preferred stock, net of</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issuance costs of $136</w:t>
            </w:r>
          </w:p>
        </w:tc>
        <w:tc>
          <w:tcPr>
            <w:tcW w:w="760" w:type="dxa"/>
            <w:vAlign w:val="bottom"/>
          </w:tcPr>
          <w:p>
            <w:pPr>
              <w:jc w:val="right"/>
              <w:spacing w:after="0"/>
              <w:rPr>
                <w:sz w:val="20"/>
                <w:szCs w:val="20"/>
                <w:color w:val="auto"/>
              </w:rPr>
            </w:pPr>
            <w:r>
              <w:rPr>
                <w:rFonts w:ascii="Arial" w:cs="Arial" w:eastAsia="Arial" w:hAnsi="Arial"/>
                <w:sz w:val="14"/>
                <w:szCs w:val="14"/>
                <w:color w:val="auto"/>
              </w:rPr>
              <w:t>30,727,064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114,830</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Series A convertible preferred stock</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8,971,412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3720" w:type="dxa"/>
            <w:vAlign w:val="bottom"/>
            <w:gridSpan w:val="2"/>
          </w:tcPr>
          <w:p>
            <w:pPr>
              <w:jc w:val="right"/>
              <w:ind w:right="1848"/>
              <w:spacing w:after="0" w:line="155" w:lineRule="exact"/>
              <w:rPr>
                <w:sz w:val="20"/>
                <w:szCs w:val="20"/>
                <w:color w:val="auto"/>
              </w:rPr>
            </w:pPr>
            <w:r>
              <w:rPr>
                <w:rFonts w:ascii="Arial" w:cs="Arial" w:eastAsia="Arial" w:hAnsi="Arial"/>
                <w:sz w:val="14"/>
                <w:szCs w:val="14"/>
                <w:color w:val="auto"/>
                <w:w w:val="90"/>
              </w:rPr>
              <w:t>Balance as of January 31, 2017</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154,031,604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159,757</w:t>
            </w: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79,650,896</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(28,838)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Series A convertible preferred stock</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(1,365,800)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(4,405)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2,958,742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10,329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jc w:val="right"/>
              <w:ind w:right="1848"/>
              <w:spacing w:after="0" w:line="149" w:lineRule="exact"/>
              <w:rPr>
                <w:sz w:val="20"/>
                <w:szCs w:val="20"/>
                <w:color w:val="auto"/>
              </w:rPr>
            </w:pPr>
            <w:r>
              <w:rPr>
                <w:rFonts w:ascii="Arial" w:cs="Arial" w:eastAsia="Arial" w:hAnsi="Arial"/>
                <w:sz w:val="14"/>
                <w:szCs w:val="14"/>
                <w:color w:val="auto"/>
                <w:w w:val="89"/>
              </w:rPr>
              <w:t>Balance as of January 31, 2018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152,665,804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159,552</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82,609,638</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6,517</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(32,737)</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7,717,797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8,941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jc w:val="right"/>
              <w:ind w:right="1848"/>
              <w:spacing w:after="0" w:line="149" w:lineRule="exact"/>
              <w:rPr>
                <w:sz w:val="20"/>
                <w:szCs w:val="20"/>
                <w:color w:val="auto"/>
              </w:rPr>
            </w:pPr>
            <w:r>
              <w:rPr>
                <w:rFonts w:ascii="Arial" w:cs="Arial" w:eastAsia="Arial" w:hAnsi="Arial"/>
                <w:sz w:val="14"/>
                <w:szCs w:val="14"/>
                <w:color w:val="auto"/>
                <w:w w:val="89"/>
              </w:rPr>
              <w:t>Balance as of January 31, 2019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152,665,804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159,552</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90,327,435</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17,760</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(25,153)</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January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(3,822)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contract acquisition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accounts receivable allowances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(5,882)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(16,560)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Deferred contract acquisition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w w:val="92"/>
              </w:rPr>
              <w:t>(11,230)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(27,470)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15,011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51,332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(143,329)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marketable securities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(4,824)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(9,738)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intangible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Payment received from loan to related party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(113,357)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(39,719)</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114,830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promissory notes and derivatives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Repurchase of convertible preferred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w w:val="92"/>
              </w:rPr>
              <w:t>(14,966)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(4,610)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 obligations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Payments of deferred offering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106,804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(97,928)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134,749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134,749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tcPr>
          <w:p>
            <w:pPr>
              <w:spacing w:after="0" w:line="201" w:lineRule="exact"/>
              <w:rPr>
                <w:sz w:val="20"/>
                <w:szCs w:val="20"/>
                <w:color w:val="auto"/>
              </w:rPr>
            </w:pPr>
            <w:r>
              <w:rPr>
                <w:rFonts w:ascii="Arial" w:cs="Arial" w:eastAsia="Arial" w:hAnsi="Arial"/>
                <w:sz w:val="18"/>
                <w:szCs w:val="18"/>
                <w:color w:val="auto"/>
                <w:w w:val="95"/>
              </w:rPr>
              <w:t>Purchases of property and equipment during the period included in accounts payable and accrued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392</w:t>
            </w:r>
          </w:p>
        </w:tc>
        <w:tc>
          <w:tcPr>
            <w:tcW w:w="4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under capital lease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Vesting of early exercised stock options and restricted stock awards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accrued but not paid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Zoom Video Communications, Inc. and its subsidiaries (together, Zoom, the Company, we, us, or our) provide video communications services through a video-first communications platform. Our platform combines video, audio, phone, screen sharing and chat functionalities. The Company was incorporated in the state of Delaware in April 2011 and is headquartered in San Jose, California.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fiscal year ends on January 31. References to fiscal 2017, 2018 and 2019, refer to the fiscal year ended January 31, 2017, 2018 and 2019,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and include the accounts of Zoom Video Communications, Inc. and its subsidiaries. All intercompany balances and transactions have been eliminated in consolidation.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Consolidated Balance Sheet Information</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have presented unaudited pro forma consolidated balance sheet information as of January 31, 2019 in order to show the assumed effect on the balance sheet of the automatic conversion of (i) the outstanding convertible preferred stock upon the consummation of a qualified initial public offering (IPO) as described in Note 7; and (ii) the convertible promissory notes and accrued interest and the related reclassification of the embedded derivative liabilities as described in Note 5. Upon the consummation of an IPO, all of the shares of outstanding convertible preferred stock will automatically convert into 152,665,804 shares of Class B common stock, and all outstanding convertible promissory notes and accrued interest will automatically convert into a number of shares of Class A common stock based on the offering price in the IPO. The unaudited pro forma consolidated balance sheet information does not give effect to any proceeds from the assumed IPO.</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January 2018, our board of directors approved the amendment and restatement of the Company’s certificate of incorporation to effect a four-for-one forward stock split of the Company’s common stock and convertible preferred stock (collectively, the Capital Stock), which became effective on January 3, 2018. Accordingly, (i) each one share of outstanding Capital Stock was split into four shares of Capital Stock of the same class and series, as applicable; (ii) the number of shares of Capital Stock issuable upon the exercise of each outstanding option to purchase Capital Stock was proportionately increased on a four-for-one basis; (iii) the exercise price of each outstanding option to purchase Capital Stock was proportionately reduced on a four-for-one basis; (iv) the authorized number of each class and series of Capital Stock was proportionally increased in accordance with the four-for-one stock split; and (v) the par value of each class of Capital Stock was not adjusted as result of this stock split. All of the share numbers, share prices, and exercise prices have been adjusted retroactively within these financial statements to reflect this stock split.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40"/>
        <w:spacing w:after="0" w:line="297" w:lineRule="auto"/>
        <w:rPr>
          <w:sz w:val="20"/>
          <w:szCs w:val="20"/>
          <w:color w:val="auto"/>
        </w:rPr>
      </w:pPr>
      <w:r>
        <w:rPr>
          <w:rFonts w:ascii="Arial" w:cs="Arial" w:eastAsia="Arial" w:hAnsi="Arial"/>
          <w:sz w:val="16"/>
          <w:szCs w:val="16"/>
          <w:color w:val="auto"/>
        </w:rPr>
        <w:t>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 period for deferred contract acquisition costs, the allowance for doubtful accounts, the useful lives of long-lived assets, the valuation of derivative liabilities, the value of common stock and other assumptions used to measure stock-based compensation, sales and other tax liabilities, the valuation of deferred income tax assets and uncertain tax positions. Actual results could differ from those estimates.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No single customer accounted for more than 10% of accounts receivable at January 31, 2018 or 2019. No single customer accounted for 10% or more of total revenue during the fiscal years ended January 31, 2017, 2018 or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Cash and cash equivalents consist of cash in banks and highly liquid investments, primarily money market funds, purchased with an original maturity of three months or less.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Restricted cash consists of certificates of deposit collateralizing our operating leases and corporate credit cards. We have $0.7 million and $2.3 million of restricted cash as of January 31, 2018 and 2019, respectively, which are included in prepaid expenses and other current assets and other assets, non-current in the consolidated balance sheets.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February 1,</w:t>
            </w:r>
          </w:p>
        </w:tc>
        <w:tc>
          <w:tcPr>
            <w:tcW w:w="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$36,146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included in other assets, non-current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27,945</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134,749</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36,821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65,968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Marketable securities consist primarily of high-grade commercial paper, corporate bonds, agency bonds and U.S. government agency securities. We classify our marketable securities as available-for-sale at the time of purchase and reevaluate such classification at each balance sheet date. We may sell these securities at any time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(loss), which is reflected as a component of stockholders’ (deficit) equity. We evaluate our securities to assess whether those with unrealized loss positions are other than temporarily impaired. We consider impairments to be other than temporary if they are related to deterioration in credit risk or if it is likely we will sell the securities before the recovery of their cost basis. Realized gains and losses from the sale of marketable securities and declines in value deemed to be other than temporary are determined based on the specific identification method. Realized gains and losses are reported in other income, net in the consolidated statements of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Financial instruments consist of cash equivalents, restricted cash, marketable securities, accounts receivable, accounts payable, convertible promissory notes and derivative liabilities. Cash equivalents, restricted cash, marketable securities and derivative liabilities are stated at fair value on a recurring basis. Accounts receivable and accounts payable are stated at their carrying value, which approximates fair value due to the short time to the expected receipt or payment date. The principal amount of the convertible promissory notes approximate fair value as the stated interest rates approximate market rates currently available to us.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Accounts receivable are recorded at the invoiced amount and amounts for which revenue has been recognized but not invoiced, net of allowance for doubtful accounts. The allowance for doubtful accounts is based on our assessment of the collectability of accounts. We regularly review the adequacy of the allowance for doubtful accounts based on a combination of factors. In establishing any required allowance, management considers historical losses adjusted to take into account current market conditions and our customers’ financial condition, the amount of any receivables in dispute, the current receivables aging and the current payment terms. Accounts receivable deemed uncollectable are charged against the allowance for doubtful accounts when identified. There were no material impairment losses related to accounts receivable in the periods presented.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Property and equipment, net, are stated at cost, less accumulated depreciation. Depreciation is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We capitalize certain development costs related to our video-first communications platform during the application development stage. Costs incurred in the preliminary stages of development are analogous to research and development activities and are expensed as incurred. The preliminary stage includes activities such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software development costs are recorded as part of property and equipment, net. Maintenance and training costs are expensed as incurred. Capitalized software development costs are amortized on a straight-line basis over the software’s estimated useful life, which is generally three years, and are recorded in cost of revenue in the consolidated statements of operations. Capitalized software development costs were not material to our consolidated financial statements during the fiscal years ended January 31, 2017 or 2018. We have capitalized $2.5 million of software development costs during the fiscal year ended January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2017, 2018 or 2019.</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Deferred offering costs consist primarily of accounting, legal, and other fees related to our proposed IPO. Upon consummation of the IPO, the deferred offering costs will be reclassified to shareholders’ (deficit) equity and recorded against the proceeds from the offering. In the event the offering is aborted, deferred offering costs will be expensed. We capitalized $2.4 million of deferred offering costs within other assets, non-current in the consolidated balance sheets as of January 31, 2019. No offering costs were capitalized as of January 31,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7" w:lineRule="exact"/>
        <w:rPr>
          <w:sz w:val="20"/>
          <w:szCs w:val="20"/>
          <w:color w:val="auto"/>
        </w:rPr>
      </w:pPr>
    </w:p>
    <w:p>
      <w:pPr>
        <w:ind w:left="640" w:right="140" w:firstLine="423"/>
        <w:spacing w:after="0" w:line="273" w:lineRule="auto"/>
        <w:rPr>
          <w:sz w:val="20"/>
          <w:szCs w:val="20"/>
          <w:color w:val="auto"/>
        </w:rPr>
      </w:pPr>
      <w:r>
        <w:rPr>
          <w:rFonts w:ascii="Arial" w:cs="Arial" w:eastAsia="Arial" w:hAnsi="Arial"/>
          <w:sz w:val="17"/>
          <w:szCs w:val="17"/>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7" w:lineRule="exact"/>
        <w:rPr>
          <w:sz w:val="20"/>
          <w:szCs w:val="20"/>
          <w:color w:val="auto"/>
        </w:rPr>
      </w:pPr>
    </w:p>
    <w:p>
      <w:pPr>
        <w:ind w:left="640" w:right="160" w:firstLine="423"/>
        <w:spacing w:after="0" w:line="255" w:lineRule="auto"/>
        <w:rPr>
          <w:sz w:val="20"/>
          <w:szCs w:val="20"/>
          <w:color w:val="auto"/>
        </w:rPr>
      </w:pPr>
      <w:r>
        <w:rPr>
          <w:rFonts w:ascii="Arial" w:cs="Arial" w:eastAsia="Arial" w:hAnsi="Arial"/>
          <w:sz w:val="18"/>
          <w:szCs w:val="18"/>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9" w:lineRule="exact"/>
        <w:rPr>
          <w:sz w:val="20"/>
          <w:szCs w:val="20"/>
          <w:color w:val="auto"/>
        </w:rPr>
      </w:pPr>
    </w:p>
    <w:p>
      <w:pPr>
        <w:ind w:left="640" w:right="80" w:firstLine="423"/>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7" w:lineRule="exact"/>
        <w:rPr>
          <w:sz w:val="20"/>
          <w:szCs w:val="20"/>
          <w:color w:val="auto"/>
        </w:rPr>
      </w:pPr>
    </w:p>
    <w:p>
      <w:pPr>
        <w:ind w:left="640" w:right="80" w:firstLine="423"/>
        <w:spacing w:after="0" w:line="257" w:lineRule="auto"/>
        <w:rPr>
          <w:sz w:val="20"/>
          <w:szCs w:val="20"/>
          <w:color w:val="auto"/>
        </w:rPr>
      </w:pPr>
      <w:r>
        <w:rPr>
          <w:rFonts w:ascii="Arial" w:cs="Arial" w:eastAsia="Arial" w:hAnsi="Arial"/>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88" w:lineRule="exact"/>
        <w:rPr>
          <w:sz w:val="20"/>
          <w:szCs w:val="20"/>
          <w:color w:val="auto"/>
        </w:rPr>
      </w:pPr>
    </w:p>
    <w:p>
      <w:pPr>
        <w:ind w:left="640" w:firstLine="423"/>
        <w:spacing w:after="0" w:line="273" w:lineRule="auto"/>
        <w:rPr>
          <w:sz w:val="20"/>
          <w:szCs w:val="20"/>
          <w:color w:val="auto"/>
        </w:rPr>
      </w:pPr>
      <w:r>
        <w:rPr>
          <w:rFonts w:ascii="Arial" w:cs="Arial" w:eastAsia="Arial" w:hAnsi="Arial"/>
          <w:sz w:val="17"/>
          <w:szCs w:val="17"/>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7" w:lineRule="exact"/>
        <w:rPr>
          <w:sz w:val="20"/>
          <w:szCs w:val="20"/>
          <w:color w:val="auto"/>
        </w:rPr>
      </w:pPr>
    </w:p>
    <w:p>
      <w:pPr>
        <w:jc w:val="both"/>
        <w:ind w:left="640" w:right="100" w:firstLine="423"/>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117" w:lineRule="exact"/>
        <w:rPr>
          <w:sz w:val="20"/>
          <w:szCs w:val="20"/>
          <w:color w:val="auto"/>
        </w:rPr>
      </w:pPr>
    </w:p>
    <w:p>
      <w:pPr>
        <w:ind w:left="640" w:right="340" w:firstLine="423"/>
        <w:spacing w:after="0" w:line="302" w:lineRule="auto"/>
        <w:rPr>
          <w:sz w:val="20"/>
          <w:szCs w:val="20"/>
          <w:color w:val="auto"/>
        </w:rPr>
      </w:pPr>
      <w:r>
        <w:rPr>
          <w:rFonts w:ascii="Arial" w:cs="Arial" w:eastAsia="Arial" w:hAnsi="Arial"/>
          <w:sz w:val="16"/>
          <w:szCs w:val="16"/>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54" w:lineRule="exact"/>
        <w:rPr>
          <w:sz w:val="20"/>
          <w:szCs w:val="20"/>
          <w:color w:val="auto"/>
        </w:rPr>
      </w:pPr>
    </w:p>
    <w:p>
      <w:pPr>
        <w:ind w:left="640" w:right="80" w:firstLine="423"/>
        <w:spacing w:after="0" w:line="277" w:lineRule="auto"/>
        <w:rPr>
          <w:sz w:val="20"/>
          <w:szCs w:val="20"/>
          <w:color w:val="auto"/>
        </w:rPr>
      </w:pPr>
      <w:r>
        <w:rPr>
          <w:rFonts w:ascii="Arial" w:cs="Arial" w:eastAsia="Arial" w:hAnsi="Arial"/>
          <w:sz w:val="18"/>
          <w:szCs w:val="18"/>
          <w:color w:val="auto"/>
        </w:rPr>
        <w:t>Services are time-based arrangements and revenue is recognized as these services are performed. Fees for services represent less than 3% of revenue in the periods presented.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Year Ended January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jc w:val="center"/>
              <w:ind w:left="320"/>
              <w:spacing w:after="0" w:line="119" w:lineRule="exact"/>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2"/>
          </w:tcPr>
          <w:p>
            <w:pPr>
              <w:jc w:val="center"/>
              <w:ind w:left="340"/>
              <w:spacing w:after="0" w:line="119" w:lineRule="exact"/>
              <w:rPr>
                <w:sz w:val="20"/>
                <w:szCs w:val="20"/>
                <w:color w:val="auto"/>
              </w:rPr>
            </w:pPr>
            <w:r>
              <w:rPr>
                <w:rFonts w:ascii="Arial" w:cs="Arial" w:eastAsia="Arial" w:hAnsi="Arial"/>
                <w:sz w:val="13"/>
                <w:szCs w:val="13"/>
                <w:b w:val="1"/>
                <w:bCs w:val="1"/>
                <w:color w:val="auto"/>
                <w:w w:val="96"/>
              </w:rPr>
              <w:t>Percentage</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tcPr>
          <w:p>
            <w:pPr>
              <w:jc w:val="center"/>
              <w:ind w:left="340"/>
              <w:spacing w:after="0" w:line="119" w:lineRule="exact"/>
              <w:rPr>
                <w:sz w:val="20"/>
                <w:szCs w:val="20"/>
                <w:color w:val="auto"/>
              </w:rPr>
            </w:pPr>
            <w:r>
              <w:rPr>
                <w:rFonts w:ascii="Arial" w:cs="Arial" w:eastAsia="Arial" w:hAnsi="Arial"/>
                <w:sz w:val="13"/>
                <w:szCs w:val="13"/>
                <w:b w:val="1"/>
                <w:bCs w:val="1"/>
                <w:color w:val="auto"/>
                <w:w w:val="96"/>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$50,676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$125,428</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$270,132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APAC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13,652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27,720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32,665</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60,817</w:t>
            </w: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151,478</w:t>
            </w: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330,517</w:t>
            </w: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on the consolidated balance sheets was $2.5 million and $7.2 million as of January 31, 2018 and 2019, respectively.</w:t>
      </w:r>
    </w:p>
    <w:p>
      <w:pPr>
        <w:spacing w:after="0" w:line="154"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are recognized during the following 12-month period. The amount of revenue recognized during the fiscal years ended January 31, 2017, 2018 and 2019 that was included in deferred revenue at the beginning of each period was $7.1 million, $21.3 million and $50.3 million,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60" w:right="4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Remaining Performance Obligation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to Obtain a Contract</w:t>
      </w:r>
    </w:p>
    <w:p>
      <w:pPr>
        <w:spacing w:after="0" w:line="11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$ 30,586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Additions to deferred contract acquisition costs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11,230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27,470</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45,769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contract acquisition costs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(3,114)</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(20,839)</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30,586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$ 55,516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contract acquisition costs, current (to be amortized in next 12 months)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contract acquisition costs, non-current</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contract acquisition costs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12,139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30,586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$ 55,516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comprised of co-located data center costs, third-party cloud hosting costs, integrated third-party public switched telephone network (PSTN)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240" w:top="460" w:right="4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services, personnel-related expenses, amortization of capitalized software development costs and allocated overhead costs. Indirect overhead associated with corporate facilities and related depreciation is allocated to cost of revenue and operating expenses based on applicable headcount.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Research and development costs include personnel-related expenses associated with our engineering personnel and consultants responsible for the design, development and testing of our video-first communications platform, depreciation of equipment used in research and development and allocated overhead costs. Research and development costs are expensed as incurred.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Advertising costs are expensed as incurred in sales and marketing expense and amounted to $3.7 million, $17.1 million and $36.1 million for the fiscal years ended January 31, 2017, 2018 and 2019,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categorize leases at their inception as either operating or capital leases. In certain lease agreements, we may receive rent holidays and other incentives. For operating leases, we recognize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in the periods presented.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the differences between the financial reporting and the tax bases of assets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and liabilities and are measured using the enacted tax rates and laws that will be in effect when the differences are expected to reverse. We must then assess the likelihood that the resulting deferred tax assets will be realized. A valuation allowance is provided when it is more likely than not that a deferred tax asset will not be fully realized. Due to our lack of earnings history, the net deferred tax assets have been fully offset by a valuation allowance.</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recognize benefits of uncertain tax positions if it is more likely than not that such positions will be sustained upon examination based solely on their technical merits at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calculate our net income (loss) per share attributable to Class A and Class B common stock using the two-class method required for companies with participating securities. We consider our convertible preferred stock and unvested common stock, which includes early exercised stock options and restricted stock awards, to be participating securities as holders of such securities have non-forfeitable dividend rights in the event of our declaration of a dividend for shares of common stock. During the periods when we are in a net loss position, the net loss attributable to common stockholders was not allocated to the convertible preferred stock and unvested common stock under the two-class method as these securities do not have a contractual obligation to share in our losses.</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Distributed and undistributed earnings allocated to participating securities are subtracted from net income (loss) in determining net income attributable to common stockholders. Basic net income (loss) per share is computed by dividing net income attributable to common stockholders by the weighted-average number of shares of our Class A and Class B common stock outstanding.</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Income Per Share Attributable to Common Stockholders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Unaudited pro forma basic and diluted net income per share attributable to common stockholders for fiscal 2019 has been computed to give effect to the conversion of convertible preferred stock and convertible promissory notes and accrued interest into common stock as of the beginning of the period or the original date of issuance, if later.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We operate in one operating segment. Operating segments are defined as components of an enterprise about which separate financial information is evaluated regularly by the chief operating decision maker, who is our Chief Executive Officer, in deciding how to allocate resources and assessing performance. Our chief operating decision maker allocates resources and assesses performance based upon consolidated financial information.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Revenue by geographical region can be found in the revenue recognition disclosures in Note 1 above. The following table presents our property and equipment, net of depreciation and amortization, by geographic region:</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APAC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13,032</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37,275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standard provides principles for recognizing revenue for the transfer of promised goods or services to customers with the consideration to which the entity expects to be entitled in exchange for those goods or services. We elected to adopt ASC 606, Revenue from Contracts with Customers, effective as of February 1, 2017. We are presenting our consolidated financial statements for the fiscal years ended January 31, 2018 and 2019 under ASC 606.</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retrospectively adopted the guidance starting February 1, 2017.</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makes other conforming amendments to U.S. GAAP. ASU 2016-02 requires, among other changes to the lease accounting guidance, lessees to recognize most leases on-balance sheet via a right of use asset and lease liability, and additional qualitative and quantitative disclosures. ASU 2016-02 is effective for the annual periods in fiscal years beginning after December 15, 2018, and interim periods therein, using a modified retrospective approach. Early adoption is permitted. We are required to adopt the standard as of February 1, 2019, and have elected the transition method that allows us to apply the standard as of the adoption date and record a cumulative adjustment in accumulated deficit, if applicable. At a minimum, total assets and total liabilities will increase upon adoption as we expect to record a right of use asset and a lease liability for our office space operating leases. We are in the process of concluding certain policy elections available under Topic 842 and plan to apply the package of practical expedients under which we have not reassessed whether any expired or existing contracts are or contain leases, the classification of any expired or existing leases, or the initial direct costs for any existing leases. See Note 6 to these consolidated financial statements for details on our current lease arrangements, the amounts of which represent the future undiscounted commitments.</w:t>
      </w:r>
    </w:p>
    <w:p>
      <w:pPr>
        <w:spacing w:after="0" w:line="183"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standard simplifies the accounting for share-based payments granted to nonemployees for goods and services and aligns most of the guidance on such payments to the nonemployees with the requirements for share-based payments granted to employees. ASU 2018-07 is effective for the annual periods in fiscal years beginning after December 15, 2018, and interim periods therein, using a modified retrospective approach. Early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adoption is permitted. We are required to adopt ASU 2018-07 on February 1, 2019. The impact of the adoption of the standard is not expected to have a material impact on our consolidated financial statements and related disclosures.</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The standard no longer requires disclosure of the amount and reasons for transfers between Level 1 and</w:t>
      </w:r>
      <w:r>
        <w:rPr>
          <w:rFonts w:ascii="Arial" w:cs="Arial" w:eastAsia="Arial" w:hAnsi="Arial"/>
          <w:sz w:val="16"/>
          <w:szCs w:val="16"/>
          <w:i w:val="1"/>
          <w:iCs w:val="1"/>
          <w:color w:val="auto"/>
        </w:rPr>
        <w:t xml:space="preserve"> </w:t>
      </w:r>
      <w:r>
        <w:rPr>
          <w:rFonts w:ascii="Arial" w:cs="Arial" w:eastAsia="Arial" w:hAnsi="Arial"/>
          <w:sz w:val="16"/>
          <w:szCs w:val="16"/>
          <w:color w:val="auto"/>
        </w:rPr>
        <w:t>Level 2 of the fair value hierarchy, however public companies will be required to disclose the range and weighted-average used to develop significant unobservable inputs for Level 3 fair value measurements. ASU 2018-13 is effective for the annual periods in fiscal years beginning after December 15, 2019, and interim periods therein. Early adoption is permitted. The removed and modified disclosures will be adopted on a retrospective basis, and the new disclosures will be adopted on a prospective basis. We are required to adopt ASU 2018-13 on February 1, 2020. We are currently evaluating the effect that ASU 2018-13 will have on our consolidated financial statements and related disclosures.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Marketable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January 31, 2018 and 2019, our marketable securities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January 31, 2018</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140" w:type="dxa"/>
            <w:vAlign w:val="bottom"/>
            <w:gridSpan w:val="4"/>
          </w:tcPr>
          <w:p>
            <w:pPr>
              <w:jc w:val="center"/>
              <w:ind w:left="334"/>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0" w:type="dxa"/>
            <w:vAlign w:val="bottom"/>
            <w:gridSpan w:val="4"/>
          </w:tcPr>
          <w:p>
            <w:pPr>
              <w:jc w:val="center"/>
              <w:ind w:left="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Corporate bonds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41,639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44,940</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103,587</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January 31, 2019</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0"/>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6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Corporate bonds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53,267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32,675</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24,028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Treasury bills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112,912</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review the individual securities that have unrealized losses on a regular basis to evaluate whether or not any security has experienced an other-than-temporary decline in fair value. We evaluate, among other factors, whether we have the intention to sell any of these marketable securities and whether it is more likely than not that we will be required to sell any of them before recovery of the amortized cost basis. Based on the available evidence, we concluded that the gross unrealized losses on the marketable securities as of January 31, 2018 and 2019, are temporary in nature. There were no material realized gains or losses from available-for-sale securities that were reclassified out of accumulated other comprehensive loss for fiscal 2017, 2018 or 2019.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contractual maturities of our marketable securities as of January 31, 2018 and 2019:</w:t>
      </w:r>
    </w:p>
    <w:p>
      <w:pPr>
        <w:spacing w:after="0" w:line="244"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6350</wp:posOffset>
            </wp:positionV>
            <wp:extent cx="10807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9660"/>
        <w:spacing w:after="0"/>
        <w:tabs>
          <w:tab w:leader="none" w:pos="10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-3175</wp:posOffset>
            </wp:positionV>
            <wp:extent cx="10807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986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85,077</w:t>
            </w:r>
          </w:p>
        </w:tc>
        <w:tc>
          <w:tcPr>
            <w:tcW w:w="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Due in one to five years</w:t>
            </w:r>
          </w:p>
        </w:tc>
        <w:tc>
          <w:tcPr>
            <w:tcW w:w="3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103,056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112,777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presents information about our financial instruments that are measured at fair value on a recurring basis using the input categories further discussed in Note 1:</w:t>
      </w:r>
    </w:p>
    <w:p>
      <w:pPr>
        <w:spacing w:after="0" w:line="200" w:lineRule="exact"/>
        <w:rPr>
          <w:sz w:val="20"/>
          <w:szCs w:val="20"/>
          <w:color w:val="auto"/>
        </w:rPr>
      </w:pP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January 31, 2018</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2"/>
              </w:rPr>
              <w:t>Level 2</w:t>
            </w: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Money market fund</w:t>
            </w:r>
          </w:p>
        </w:tc>
        <w:tc>
          <w:tcPr>
            <w:tcW w:w="3220" w:type="dxa"/>
            <w:vAlign w:val="bottom"/>
            <w:gridSpan w:val="2"/>
          </w:tcPr>
          <w:p>
            <w:pPr>
              <w:ind w:left="3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7,471</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equivalents</w:t>
            </w:r>
          </w:p>
        </w:tc>
        <w:tc>
          <w:tcPr>
            <w:tcW w:w="3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3,838</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Agency bonds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44,707</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44,707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securities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Marketable securities</w:t>
            </w:r>
          </w:p>
        </w:tc>
        <w:tc>
          <w:tcPr>
            <w:tcW w:w="3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103,056</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103,056</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 of deposit</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Other assets, non-current</w:t>
            </w:r>
          </w:p>
        </w:tc>
        <w:tc>
          <w:tcPr>
            <w:tcW w:w="3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22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111,202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103,731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gridSpan w:val="2"/>
          </w:tcPr>
          <w:p>
            <w:pPr>
              <w:ind w:left="1240"/>
              <w:spacing w:after="0"/>
              <w:rPr>
                <w:sz w:val="20"/>
                <w:szCs w:val="20"/>
                <w:color w:val="auto"/>
              </w:rPr>
            </w:pPr>
            <w:r>
              <w:rPr>
                <w:rFonts w:ascii="Arial" w:cs="Arial" w:eastAsia="Arial" w:hAnsi="Arial"/>
                <w:sz w:val="18"/>
                <w:szCs w:val="18"/>
                <w:color w:val="auto"/>
              </w:rPr>
              <w:t>F-19</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January 31, 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92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2"/>
              </w:rPr>
              <w:t>Level 2</w:t>
            </w: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Money market fund</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Agency bonds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32,604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32,604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Treasury bills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 non-current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115,199</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78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115,121</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Convertible promissory notes – bifurcated derivative liabilities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 non-current</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Total financial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classify our highly liquid money market funds within Level 1 of the fair value hierarchy because they are valued based on quoted market prices in active markets. We classify our commercial paper, agency bonds, corporate bonds, U.S. government agency securities, treasury bills and certificate of deposit within Level 2 because they are valued using inputs other than quoted prices which are directly or indirectly observable in the market, including readily-available pricing sources for the identical underlying security which may not be actively traded. We classify the derivative liabilities as Level 3 due to the lack of relevant observable market data over fair value inputs such as the probability-weighting of the various scenarios that can impact settlement of the arrangement. There were no transfers of financial instruments between Level 1, Level 2 and Level 3 during the periods presented.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the changes in the fair value of our Level 3 financial instruments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w:t>
            </w: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r>
      <w:tr>
        <w:trPr>
          <w:trHeight w:val="142"/>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31, 2018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Derivative liabilities bifurcated from convertible promissory notes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10100" w:type="dxa"/>
            <w:vAlign w:val="bottom"/>
            <w:gridSpan w:val="2"/>
          </w:tcPr>
          <w:p>
            <w:pPr>
              <w:spacing w:after="0"/>
              <w:rPr>
                <w:sz w:val="20"/>
                <w:szCs w:val="20"/>
                <w:color w:val="auto"/>
              </w:rPr>
            </w:pPr>
            <w:r>
              <w:rPr>
                <w:rFonts w:ascii="Arial" w:cs="Arial" w:eastAsia="Arial" w:hAnsi="Arial"/>
                <w:sz w:val="18"/>
                <w:szCs w:val="18"/>
                <w:color w:val="auto"/>
              </w:rPr>
              <w:t>Balance - January 31, 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fair value of the derivative liabilities were measured using a with-and-without approach. Inputs used to determine the estimated fair value of the derivative instruments include the probability estimates of potential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settlement scenarios for the convertible promissory notes, a present value discount rate and an estimate of the 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80" w:type="dxa"/>
            <w:vAlign w:val="bottom"/>
            <w:gridSpan w:val="4"/>
          </w:tcPr>
          <w:p>
            <w:pPr>
              <w:jc w:val="right"/>
              <w:ind w:right="31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gross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(11,468)</w:t>
            </w: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13,032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$ 37,275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Depreciation and amortization expense was $1.2 million, $2.8 million and $7.0 million for the fiscal years ended January 31, 2017, 2018 and 2019, respectively.</w:t>
      </w:r>
    </w:p>
    <w:p>
      <w:pPr>
        <w:spacing w:after="0" w:line="170" w:lineRule="exact"/>
        <w:rPr>
          <w:sz w:val="20"/>
          <w:szCs w:val="20"/>
          <w:color w:val="auto"/>
        </w:rPr>
      </w:pPr>
    </w:p>
    <w:p>
      <w:pPr>
        <w:ind w:left="200" w:right="2920" w:firstLine="441"/>
        <w:spacing w:after="0" w:line="277" w:lineRule="auto"/>
        <w:rPr>
          <w:sz w:val="20"/>
          <w:szCs w:val="20"/>
          <w:color w:val="auto"/>
        </w:rPr>
      </w:pPr>
      <w:r>
        <w:rPr>
          <w:rFonts w:ascii="Arial" w:cs="Arial" w:eastAsia="Arial" w:hAnsi="Arial"/>
          <w:sz w:val="18"/>
          <w:szCs w:val="18"/>
          <w:color w:val="auto"/>
        </w:rPr>
        <w:t>As of January 31, 2018, property and equipment financed under capital leases were immaterial. We had no property and equipment financed under capital lease as of January 31,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expenses</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early exercise of common stock options</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Sales and other tax liabilities</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4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15,455</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32,256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940" w:type="dxa"/>
            <w:vAlign w:val="bottom"/>
            <w:gridSpan w:val="2"/>
          </w:tcPr>
          <w:p>
            <w:pPr>
              <w:jc w:val="right"/>
              <w:ind w:right="3745"/>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Liabilities, Non-current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liabilities, non-current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Sales and other tax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$8,395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Convertible promissory notes, net of debt discount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14,858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Deferred rent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Other liabilities, non-current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9,698</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39,460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Convertible Promissory Notes</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As part of the strategic partnerships, we issued unsecured three-year convertible promissory notes in the principal amounts of $5.0 million and $10.0 million to Dropbox and Atlassian, respectively, which accrue simple interest at 2.75% and 5.0% per annum, respectively. Both convertible promissory notes are collectively referred to as “the notes” throughout the notes to the consolidated financial statements, unless otherwise stated. The notes will automatically convert into shares of Class A common stock upon an IPO at a conversion price equal to the IPO price. The notes are automatically redeemed upon the occurrence of a “Liquidation Event” (defined as (1) the acquisition of the Company by another entity (other than an acquisition in which holders of the voting securities outstanding immediately prior to the transaction retain, immediately after the transaction, at least a majority of the total voting power), (2) a sale, lease, exclusive license or other disposition of all or substantially all of the Company’s assets by means of a transaction or series of transactions (other than a sale, lease, exclusive license or other disposition made to a wholly-owned subsidiary), or (3) any dissolution, liquidation or winding-up of the Company, whether voluntary or involuntary) for a cash amount equal to 1.2 times the principal plus accrued and unpaid interest as of the date of the liquidation event. In the event of a “Qualified Financing” (defined as a transaction or series of transactions in which we issue newly-issued preferred stock for aggregate gross proceeds of at least $25.0 million), the notes will automatically convert into shares of newly-issued preferred stock at a conversion price equal to 80% of the preferred stock price. The holders of the notes also have the right, at their option, to convert the notes into shares of newly-issued preferred stock in a financing that is not a “Qualified Financing” at a conversion price equal to 80% of the preferred stock price.</w:t>
      </w:r>
    </w:p>
    <w:p>
      <w:pPr>
        <w:spacing w:after="0" w:line="17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concluded that the conversion term on both the Liquidation Event and Qualified Financing should be bifurcated as embedded derivatives. The impact of the change in fair value of the derivatives was reported in other income, net on the consolidated statement of operations. We will remeasure the fair value of each embedded derivative at each reporting period and recognize the change in the consolidated statement of operations. The excess of the principal amount of the Dropbox and Atlassian notes over the liability component (debt discount) is amortized to interest expense over the contractual term of the notes at an effective interest rate of 3.22% and 5.39%, respectively. We recorded interest expense of $0.2 million during fiscal 2019 related to the notes. We present a summary of the changes in the fair value of our embedded derivatives in Note 3 above.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the outstanding convertible promissory notes: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r>
      <w:tr>
        <w:trPr>
          <w:trHeight w:val="149"/>
        </w:trPr>
        <w:tc>
          <w:tcPr>
            <w:tcW w:w="20" w:type="dxa"/>
            <w:vAlign w:val="bottom"/>
          </w:tcPr>
          <w:p>
            <w:pPr>
              <w:spacing w:after="0"/>
              <w:rPr>
                <w:sz w:val="12"/>
                <w:szCs w:val="12"/>
                <w:color w:val="auto"/>
              </w:rPr>
            </w:pPr>
          </w:p>
        </w:tc>
        <w:tc>
          <w:tcPr>
            <w:tcW w:w="10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Promissory</w:t>
            </w:r>
          </w:p>
        </w:tc>
      </w:tr>
      <w:tr>
        <w:trPr>
          <w:trHeight w:val="171"/>
        </w:trPr>
        <w:tc>
          <w:tcPr>
            <w:tcW w:w="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Notes</w:t>
            </w:r>
          </w:p>
        </w:tc>
      </w:tr>
      <w:tr>
        <w:trPr>
          <w:trHeight w:val="142"/>
        </w:trPr>
        <w:tc>
          <w:tcPr>
            <w:tcW w:w="20" w:type="dxa"/>
            <w:vAlign w:val="bottom"/>
          </w:tcPr>
          <w:p>
            <w:pPr>
              <w:spacing w:after="0"/>
              <w:rPr>
                <w:sz w:val="12"/>
                <w:szCs w:val="12"/>
                <w:color w:val="auto"/>
              </w:rPr>
            </w:pPr>
          </w:p>
        </w:tc>
        <w:tc>
          <w:tcPr>
            <w:tcW w:w="10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2018</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Convertible promissory notes issued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 net of accretion during the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23"/>
        </w:trPr>
        <w:tc>
          <w:tcPr>
            <w:tcW w:w="10040" w:type="dxa"/>
            <w:vAlign w:val="bottom"/>
            <w:gridSpan w:val="2"/>
          </w:tcPr>
          <w:p>
            <w:pPr>
              <w:spacing w:after="0"/>
              <w:rPr>
                <w:sz w:val="20"/>
                <w:szCs w:val="20"/>
                <w:color w:val="auto"/>
              </w:rPr>
            </w:pPr>
            <w:r>
              <w:rPr>
                <w:rFonts w:ascii="Arial" w:cs="Arial" w:eastAsia="Arial" w:hAnsi="Arial"/>
                <w:sz w:val="18"/>
                <w:szCs w:val="18"/>
                <w:color w:val="auto"/>
              </w:rPr>
              <w:t>Balance—January 31, 2019</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lease our office facilities in Australia, China, the United Kingdom and the United States under noncancelable agreements that expire at various dates through January 2028. Rent expense during the fiscal year ended January 31, 2017, 2018 and 2019 was $1.6 million, $3.3 million and $7.2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minimum payments related to operating leases as of January 31, 2019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Year Ending January 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2020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80" w:type="dxa"/>
            <w:vAlign w:val="bottom"/>
          </w:tcPr>
          <w:p>
            <w:pPr>
              <w:ind w:left="700"/>
              <w:spacing w:after="0"/>
              <w:rPr>
                <w:sz w:val="20"/>
                <w:szCs w:val="20"/>
                <w:color w:val="auto"/>
              </w:rPr>
            </w:pPr>
            <w:r>
              <w:rPr>
                <w:rFonts w:ascii="Arial" w:cs="Arial" w:eastAsia="Arial" w:hAnsi="Arial"/>
                <w:sz w:val="18"/>
                <w:szCs w:val="18"/>
                <w:color w:val="auto"/>
              </w:rPr>
              <w:t>Total future minimum payments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In the normal course of business, we enter into non-cancelable purchase commitments with various parties to purchase primarily software-based services. As of January 31, 2019, we had outstanding non-cancelable purchase obligations with a term of 12 months or longer of $25.1 million.</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Indemnifications and Contingency</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addition, we have indemnification agreements with our directors and our executive officers that require us, among other things, to indemnify our directors and executive officers for costs associated with any fees,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Other Tax Liabilities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We conduct operations in many tax jurisdictions throughout the United States. In many jurisdictions, non-income-based taxes, such as sales and use tax and other indirect taxes are assessed on our operations. Although we are diligent in collecting and remitting such taxes, there is uncertainty as to what constitutes sufficient in-state presence for a state to levy taxes, fees and surcharges for sales made over the Internet. As of January 31, 2018 and 2019, we recorded sales and other tax liabilities of $8.9 million and $22.0 million, respectively, of which $0.5 million and $1.2 million are included in accrued expenses and other current liabilities, respectively, and $8.4 million and $20.8 million are included in other liabilities, non-current, respectively, on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and OFAC. If we are found to be in violation of U.S. economic sanctions or export control laws, it could result in fines and penalties. We may also be adversely affected through other penalties, reputational harm, loss of access to certain markets or other factors. No loss has been recognized in the financial statements for this loss contingency as it is not probable a loss has been incurred and the range of a possible loss is not estimable.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80"/>
          </w:cols>
          <w:pgMar w:left="240" w:top="460"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the ordinary course of business, we may be subject from time to time to various proceedings, lawsuits, disputes or claims. Although we cannot predict with assurance the outcome of any litigation, we do not believe there are currently any such actions that, if resolved unfavorably, would have a material impact on our financial condition, results of operations or cash flows.</w:t>
      </w:r>
    </w:p>
    <w:p>
      <w:pPr>
        <w:spacing w:after="0" w:line="326" w:lineRule="exact"/>
        <w:rPr>
          <w:sz w:val="20"/>
          <w:szCs w:val="20"/>
          <w:color w:val="auto"/>
        </w:rPr>
      </w:pPr>
    </w:p>
    <w:p>
      <w:pPr>
        <w:ind w:left="740" w:hanging="536"/>
        <w:spacing w:after="0"/>
        <w:tabs>
          <w:tab w:leader="none" w:pos="7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Stockholders’ Deficit and Equity Incentive Plan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Convertible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5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4"/>
              </w:rPr>
              <w:t>January 31, 2018 and 2019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Designated</w:t>
            </w:r>
          </w:p>
        </w:tc>
        <w:tc>
          <w:tcPr>
            <w:tcW w:w="26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Shares Issued</w:t>
            </w:r>
          </w:p>
        </w:tc>
        <w:tc>
          <w:tcPr>
            <w:tcW w:w="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Liquidation</w:t>
            </w:r>
          </w:p>
        </w:tc>
      </w:t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2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72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67,083,500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61,717,700</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Series B</w:t>
            </w:r>
          </w:p>
        </w:tc>
        <w:tc>
          <w:tcPr>
            <w:tcW w:w="1020" w:type="dxa"/>
            <w:vAlign w:val="bottom"/>
          </w:tcPr>
          <w:p>
            <w:pPr>
              <w:jc w:val="right"/>
              <w:spacing w:after="0"/>
              <w:rPr>
                <w:sz w:val="20"/>
                <w:szCs w:val="20"/>
                <w:color w:val="auto"/>
              </w:rPr>
            </w:pPr>
            <w:r>
              <w:rPr>
                <w:rFonts w:ascii="Arial" w:cs="Arial" w:eastAsia="Arial" w:hAnsi="Arial"/>
                <w:sz w:val="18"/>
                <w:szCs w:val="18"/>
                <w:color w:val="auto"/>
              </w:rPr>
              <w:t>25,857,784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25,857,784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34,363,256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34,363,256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Series 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30,800,000</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30,727,064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114,966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convertible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158,104,540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160,724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the convertible preferred stock have the following rights, preferences and privileges:</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Holders of convertible preferred stock are entitled to receive noncumulative dividends at the rate of 6% of their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issue price per share (as adjusted for any stock dividends, combinations, recapitalizations or stock splits), on a pari passu basis when, as, and if, declared by the board of directors. No dividends will be paid to holders of common stock until the aforementioned dividends on convertible preferred stock have been paid or set aside for payment. Any remaining dividends shall be paid to the holders of convertible preferred stock and common stock on an as-converted basis. To date, no dividends have been declared.</w:t>
      </w:r>
    </w:p>
    <w:p>
      <w:pPr>
        <w:spacing w:after="0" w:line="188"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 Holders of convertible preferred stock have the right to convert at any time into shares of Class B common stock at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conversion ratio arrived at by dividing the original issuance price by the applicable conversion price. All shares of the convertible preferred stock shall be automatically converted into shares of Class B common stock (i) upon the written request from holders of each of (a) a majority of the Series A convertible preferred stock then outstanding, (b) a majority of the Series B convertible preferred stock then outstanding, (c) a majority of the Series C convertible preferred stock then outstanding, and (d) a majority of the Series D convertible preferred stock outstanding, or (ii) into shares of Class B common stock immediately prior to the closing of a firm commitment underwritten public offering pursuant to an effective registration statement in connection with an offering of securities on the New York Stock Exchange, Nasdaq Global Market or other securities exchange resulting in at least $75.0 million of proceeds (net of underwriting discounts and commissions) at a fully diluted pre-offering valuation of no less than $1.0 billion.</w:t>
      </w:r>
    </w:p>
    <w:p>
      <w:pPr>
        <w:spacing w:after="0" w:line="166"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 In the event of any liquidation, dissolution or winding up of the Company, either voluntary or involuntary,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Series B convertible preferred stock, Series C convertible preferred stock and Series D convertible preferred stock shall be entitled to receive, on a pari passu basis, prior and in preference to any distribution from the proceeds of the liquidation event of the Company to the holders of</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Series A convertible preferred stock or common stock by reason of their ownership thereof, an amount equal to the greater of (i) the applicable original issue price for such series of convertible preferred stock plus any dividends declared but unpaid thereon, or (ii) such amount per share as would have been payable had all shares of such series of convertible preferred stock been converted into Class B common stock. After the payment to the holders of the Series B convertible preferred stock, Series C convertible preferred stock and Series D convertible preferred stock, the holders of shares of Series A convertible preferred stock shall be entitled to receive, prior and in preference to any distribution from the proceeds of the liquidation event of the Company to the holders of common stock by reason of their ownership thereof, an amount equal to the greater of (i) the applicable original issue price for the Series A convertible preferred stock plus any dividends declared but unpaid thereon, or (ii) such amount per share as would have been payable had all shares of Series A convertible preferred stock been converted into Class B common stock. The remaining funds are distributed with equal priority and pro rata among the holders of preferred stock and common stock.</w:t>
      </w:r>
    </w:p>
    <w:p>
      <w:pPr>
        <w:spacing w:after="0" w:line="18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convertible preferred stock are entitled to vote on all matters and are entitled to the number of votes equal to ten</w:t>
      </w:r>
      <w:r>
        <w:rPr>
          <w:rFonts w:ascii="Arial" w:cs="Arial" w:eastAsia="Arial" w:hAnsi="Arial"/>
          <w:sz w:val="18"/>
          <w:szCs w:val="18"/>
          <w:i w:val="1"/>
          <w:iCs w:val="1"/>
          <w:color w:val="auto"/>
        </w:rPr>
        <w:t xml:space="preserve"> </w:t>
      </w:r>
      <w:r>
        <w:rPr>
          <w:rFonts w:ascii="Arial" w:cs="Arial" w:eastAsia="Arial" w:hAnsi="Arial"/>
          <w:sz w:val="18"/>
          <w:szCs w:val="18"/>
          <w:color w:val="auto"/>
        </w:rPr>
        <w:t>times the number of shares of Class B common stock into which each share of convertible preferred stock is then convertible. The holders of convertible preferred stock vote together with the holders of Class B common stock as a single class on an as-converted basis, unless as expressly provided in our certificate of incorporation or as required by law. The holders of Series A convertible preferred stock, Series B convertible preferred stock, Series C convertible preferred stock and Series D convertible preferred stock voting as separate classes, are each entitled to elect one director. In addition, the holders of Class B common stock, voting as a separate class, are entitled to elect two members of the board of directors. The holders of convertible preferred stock and Class B common stock, voting together as a single class on an as-if-converted basis, are entitled to elect remaining members of the board of directors.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The convertible preferred stock does not contain any date-certain redemption features.</w:t>
      </w:r>
    </w:p>
    <w:p>
      <w:pPr>
        <w:spacing w:after="0" w:line="22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i w:val="1"/>
          <w:iCs w:val="1"/>
          <w:color w:val="auto"/>
        </w:rPr>
        <w:t xml:space="preserve">Classification of Convertible Preferred Stock </w:t>
      </w:r>
      <w:r>
        <w:rPr>
          <w:rFonts w:ascii="Arial" w:cs="Arial" w:eastAsia="Arial" w:hAnsi="Arial"/>
          <w:sz w:val="18"/>
          <w:szCs w:val="18"/>
          <w:color w:val="auto"/>
        </w:rPr>
        <w:t>– The deemed liquidation preference provisions of the convertible preferred stock are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redemption provisions that are not solely within our control. Accordingly, the convertible preferred stock has been presented outside of permanent equity in the mezzanine section of the consolidated balance sheets.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Repurchases of Convertible Preferred Stock</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December 2016, in conjunction with the Series D convertible preferred stock financing, we repurchased 4,000,000 shares of Series A convertible preferred stock from an existing investor for a total consideration of approximately $15.0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18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fiscal 2018, we voluntarily repurchased 1,365,800 shares of Series A convertible preferred stock from certain existing investors for a total consideration of $4.6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Dual Class Common Stock Structure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November 2018, we implemented a dual class common stock structure pursuant to which all then-outstanding shares of our common stock were reclassified as Class B common stock and a new class of Class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 outstanding shares of convertible preferred stock, voting together on an as-converted basis, and the holders of a majority of the then outstanding shares of Class B common stock, voting as a separate class, and (d) the 15-year anniversary of the closing of our IPO. In connection with the implementation of the dual class common stock structure, each then 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Upon the effectiveness of the restated certificate of incorporation in November 2018, the number of shares of common stock that is authorized to be issued consisted of 320,000,000 shares of Class A common stock, $0.001 par value per share and 300,000,000 shares of Class B common stock, $0.001 par value per share. Class A and Class B common stock are referred to as common stock throughout the notes to the consolidated financial statements, unless otherwise noted.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the following shares of common stock reserved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440" w:type="dxa"/>
            <w:vAlign w:val="bottom"/>
            <w:gridSpan w:val="4"/>
          </w:tcPr>
          <w:p>
            <w:pPr>
              <w:ind w:left="8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320" w:type="dxa"/>
            <w:vAlign w:val="bottom"/>
            <w:tcBorders>
              <w:top w:val="single" w:sz="8" w:color="auto"/>
            </w:tcBorders>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convertible preferred stock</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34,170,489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35,064,465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Remaining shares available for future issuance under the 2011 Plan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10,459,873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1,848,100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Total shares of common stock reserved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197,296,166</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189,578,369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2011, we adopted the 2011 Equity Incentive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w:t>
      </w:r>
    </w:p>
    <w:p>
      <w:pPr>
        <w:spacing w:after="0" w:line="17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As of January 31, 2018 and 2019, our board of directors had authorized 71,240,000 shares of common stock to be reserved for grants of awards under the 2011 Plan.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3"/>
              </w:rPr>
              <w:t>Options Outstanding</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Weighted-</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98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3"/>
            <w:vMerge w:val="restart"/>
          </w:tcPr>
          <w:p>
            <w:pPr>
              <w:jc w:val="center"/>
              <w:ind w:left="3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2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940" w:type="dxa"/>
            <w:vAlign w:val="bottom"/>
            <w:gridSpan w:val="3"/>
          </w:tcPr>
          <w:p>
            <w:pPr>
              <w:jc w:val="center"/>
              <w:ind w:left="15"/>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Grant</w:t>
            </w:r>
          </w:p>
        </w:tc>
        <w:tc>
          <w:tcPr>
            <w:tcW w:w="2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4"/>
                <w:szCs w:val="14"/>
                <w:color w:val="auto"/>
              </w:rPr>
            </w:pPr>
          </w:p>
        </w:tc>
        <w:tc>
          <w:tcPr>
            <w:tcW w:w="720" w:type="dxa"/>
            <w:vAlign w:val="bottom"/>
          </w:tcPr>
          <w:p>
            <w:pPr>
              <w:jc w:val="center"/>
              <w:ind w:right="192"/>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Pr>
          <w:p>
            <w:pPr>
              <w:jc w:val="right"/>
              <w:ind w:right="100"/>
              <w:spacing w:after="0"/>
              <w:rPr>
                <w:sz w:val="20"/>
                <w:szCs w:val="20"/>
                <w:color w:val="auto"/>
              </w:rPr>
            </w:pPr>
            <w:r>
              <w:rPr>
                <w:rFonts w:ascii="Arial" w:cs="Arial" w:eastAsia="Arial" w:hAnsi="Arial"/>
                <w:sz w:val="14"/>
                <w:szCs w:val="14"/>
                <w:b w:val="1"/>
                <w:bCs w:val="1"/>
                <w:color w:val="auto"/>
              </w:rPr>
              <w:t>Life (Years)</w:t>
            </w:r>
          </w:p>
        </w:tc>
        <w:tc>
          <w:tcPr>
            <w:tcW w:w="2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(in thousands, except share, life and per share data)</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February 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10,758,016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31,802,500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0.06</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(5,808,000)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5,808,000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0.30</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(8,971,412)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0.04</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Cancelled/forfeited/expired</w:t>
            </w:r>
          </w:p>
        </w:tc>
        <w:tc>
          <w:tcPr>
            <w:tcW w:w="860" w:type="dxa"/>
            <w:vAlign w:val="bottom"/>
          </w:tcPr>
          <w:p>
            <w:pPr>
              <w:jc w:val="right"/>
              <w:spacing w:after="0"/>
              <w:rPr>
                <w:sz w:val="20"/>
                <w:szCs w:val="20"/>
                <w:color w:val="auto"/>
              </w:rPr>
            </w:pPr>
            <w:r>
              <w:rPr>
                <w:rFonts w:ascii="Arial" w:cs="Arial" w:eastAsia="Arial" w:hAnsi="Arial"/>
                <w:sz w:val="18"/>
                <w:szCs w:val="18"/>
                <w:color w:val="auto"/>
              </w:rPr>
              <w:t>628,088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(628,088)</w:t>
            </w:r>
          </w:p>
        </w:tc>
        <w:tc>
          <w:tcPr>
            <w:tcW w:w="2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0.19</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5,578,104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28,011,000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0.11</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Shares authorized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14,000,000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(9,765,200)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9,765,200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0.87</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(2,958,742)</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0.25</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646,969</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(646,969)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0.39</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Balance as of January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10,459,873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34,170,489</w:t>
            </w: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0.31</w:t>
            </w: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53,947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(9,192,700)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9,192,700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4.92</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(7,717,797)</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0.46</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580,927</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(580,927)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1.10</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Balance as of January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1,848,100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35,064,465</w:t>
            </w: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1.48</w:t>
            </w: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534,572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Vested as of January 31, 2019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19,132,388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0.24</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weighted-average grant date fair value of options granted to employees during the fiscal years ended January 31, 2017, 2018 and 2019 was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$0.23, $0.67 and $6.28, respectively. As of January 31, 2019, unrecognized stock-based compensation cost related to outstanding unvested stock options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was $57.1 million, which is expected to be recognized over a weighted-average period of 3.4 years.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January 31,</w:t>
            </w: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20" w:type="dxa"/>
            <w:vAlign w:val="bottom"/>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2017</w:t>
            </w:r>
          </w:p>
        </w:tc>
        <w:tc>
          <w:tcPr>
            <w:tcW w:w="1660" w:type="dxa"/>
            <w:vAlign w:val="bottom"/>
            <w:gridSpan w:val="3"/>
          </w:tcPr>
          <w:p>
            <w:pPr>
              <w:jc w:val="right"/>
              <w:ind w:right="49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46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780" w:type="dxa"/>
            <w:vAlign w:val="bottom"/>
          </w:tcPr>
          <w:p>
            <w:pPr>
              <w:ind w:left="20"/>
              <w:spacing w:after="0"/>
              <w:rPr>
                <w:sz w:val="20"/>
                <w:szCs w:val="20"/>
                <w:color w:val="auto"/>
              </w:rPr>
            </w:pPr>
            <w:r>
              <w:rPr>
                <w:rFonts w:ascii="Arial" w:cs="Arial" w:eastAsia="Arial" w:hAnsi="Arial"/>
                <w:sz w:val="18"/>
                <w:szCs w:val="18"/>
                <w:color w:val="auto"/>
              </w:rPr>
              <w:t>– 56.3%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 52.0%</w:t>
            </w:r>
          </w:p>
        </w:tc>
        <w:tc>
          <w:tcPr>
            <w:tcW w:w="660" w:type="dxa"/>
            <w:vAlign w:val="bottom"/>
          </w:tcPr>
          <w:p>
            <w:pPr>
              <w:jc w:val="right"/>
              <w:spacing w:after="0"/>
              <w:rPr>
                <w:sz w:val="20"/>
                <w:szCs w:val="20"/>
                <w:color w:val="auto"/>
              </w:rPr>
            </w:pPr>
            <w:r>
              <w:rPr>
                <w:rFonts w:ascii="Arial" w:cs="Arial" w:eastAsia="Arial" w:hAnsi="Arial"/>
                <w:sz w:val="18"/>
                <w:szCs w:val="18"/>
                <w:color w:val="auto"/>
              </w:rPr>
              <w:t>44.6%</w:t>
            </w:r>
          </w:p>
        </w:tc>
        <w:tc>
          <w:tcPr>
            <w:tcW w:w="800" w:type="dxa"/>
            <w:vAlign w:val="bottom"/>
          </w:tcPr>
          <w:p>
            <w:pPr>
              <w:ind w:left="20"/>
              <w:spacing w:after="0"/>
              <w:rPr>
                <w:sz w:val="20"/>
                <w:szCs w:val="20"/>
                <w:color w:val="auto"/>
              </w:rPr>
            </w:pPr>
            <w:r>
              <w:rPr>
                <w:rFonts w:ascii="Arial" w:cs="Arial" w:eastAsia="Arial" w:hAnsi="Arial"/>
                <w:sz w:val="18"/>
                <w:szCs w:val="18"/>
                <w:color w:val="auto"/>
              </w:rPr>
              <w:t>– 48.2%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tcPr>
          <w:p>
            <w:pPr>
              <w:jc w:val="right"/>
              <w:ind w:right="430"/>
              <w:spacing w:after="0"/>
              <w:rPr>
                <w:sz w:val="20"/>
                <w:szCs w:val="20"/>
                <w:color w:val="auto"/>
              </w:rPr>
            </w:pPr>
            <w:r>
              <w:rPr>
                <w:rFonts w:ascii="Arial" w:cs="Arial" w:eastAsia="Arial" w:hAnsi="Arial"/>
                <w:sz w:val="18"/>
                <w:szCs w:val="18"/>
                <w:color w:val="auto"/>
              </w:rPr>
              <w:t>0.0%</w:t>
            </w:r>
          </w:p>
        </w:tc>
        <w:tc>
          <w:tcPr>
            <w:tcW w:w="1660" w:type="dxa"/>
            <w:vAlign w:val="bottom"/>
            <w:gridSpan w:val="3"/>
          </w:tcPr>
          <w:p>
            <w:pPr>
              <w:jc w:val="right"/>
              <w:ind w:right="45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46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31" w:lineRule="exact"/>
        <w:rPr>
          <w:sz w:val="20"/>
          <w:szCs w:val="20"/>
          <w:color w:val="auto"/>
        </w:rPr>
      </w:pPr>
    </w:p>
    <w:p>
      <w:pPr>
        <w:ind w:left="1060" w:right="360" w:hanging="424"/>
        <w:spacing w:after="0" w:line="279"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As our common stock is not publicly traded, the fair value was determined by our board of directors, with</w:t>
      </w:r>
      <w:r>
        <w:rPr>
          <w:rFonts w:ascii="Arial" w:cs="Arial" w:eastAsia="Arial" w:hAnsi="Arial"/>
          <w:sz w:val="17"/>
          <w:szCs w:val="17"/>
          <w:i w:val="1"/>
          <w:iCs w:val="1"/>
          <w:color w:val="auto"/>
        </w:rPr>
        <w:t xml:space="preserve"> </w:t>
      </w:r>
      <w:r>
        <w:rPr>
          <w:rFonts w:ascii="Arial" w:cs="Arial" w:eastAsia="Arial" w:hAnsi="Arial"/>
          <w:sz w:val="17"/>
          <w:szCs w:val="17"/>
          <w:color w:val="auto"/>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6" w:lineRule="exact"/>
        <w:rPr>
          <w:rFonts w:ascii="Arial" w:cs="Arial" w:eastAsia="Arial" w:hAnsi="Arial"/>
          <w:sz w:val="17"/>
          <w:szCs w:val="17"/>
          <w:color w:val="auto"/>
        </w:rPr>
      </w:pPr>
    </w:p>
    <w:p>
      <w:pPr>
        <w:ind w:left="1060" w:right="18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060" w:right="60" w:hanging="424"/>
        <w:spacing w:after="0" w:line="25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93" w:lineRule="exact"/>
        <w:rPr>
          <w:rFonts w:ascii="Arial" w:cs="Arial" w:eastAsia="Arial" w:hAnsi="Arial"/>
          <w:sz w:val="18"/>
          <w:szCs w:val="18"/>
          <w:color w:val="auto"/>
        </w:rPr>
      </w:pPr>
    </w:p>
    <w:p>
      <w:pPr>
        <w:jc w:val="both"/>
        <w:ind w:left="1060" w:right="160" w:hanging="424"/>
        <w:spacing w:after="0" w:line="264"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that are either similar in size, stage of life cycle, or financial leverage, over a period equivalent to the expected term of the awards.</w:t>
      </w:r>
    </w:p>
    <w:p>
      <w:pPr>
        <w:spacing w:after="0" w:line="86" w:lineRule="exact"/>
        <w:rPr>
          <w:rFonts w:ascii="Arial" w:cs="Arial" w:eastAsia="Arial" w:hAnsi="Arial"/>
          <w:sz w:val="18"/>
          <w:szCs w:val="18"/>
          <w:color w:val="auto"/>
        </w:rPr>
      </w:pPr>
    </w:p>
    <w:p>
      <w:pPr>
        <w:ind w:left="1060" w:right="680" w:hanging="424"/>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Early Exercise of Common Stock Options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board of directors authorized certain stock option holders to exercise unvested options to purchase shares of common stock. Shares received from such early exercises are subject to repurchase in the event of the optionee’s termination of service as a Service Provider (as defined in the 2011 Plan), at the original issuance price, until the options are fully vested. As of January 31, 2018 and 2019, 1,941,667 and 1,261,230 shares of Class B common stock were subject to repurchase at a weighted average price of $0.26 and $1.41 per share, respectively. As of January 31, 2018 and 2019, the cash proceeds received for unvested shares of common stock recorded within accrued expenses and other current liabilities in the consolidated balance sheets were $0.5 million and $1.8 million, respectively.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Stock Award</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the fiscal years ended January 31, 2017, 2018 and 2019, 180,408 shares of the restricted common stock vested in each period, and the related stock-based compensation expense for such shares of common stock was immaterial. As of January 31, 2019, 180,408 shares of common stock were unvested and subject to repurchase.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Third-Party Stock Transactions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May 2017, our CEO sold 2,899,136 shares of our common stock to an existing investor at a per share price of $3.74. In the consolidated statements of operations for fiscal 2018, due to the fact that the purchase was made by an economic interest holder and is presumptively considered compensatory under U.S. GAAP, we recognized stock-based compensation expense related to such stock sale of $8.6 million, the difference between the purchase price and the fair value of our common stock at the time of sale.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stock-based compensation expense by line item in the accompanying consolidated statements of operations is summarized as follows: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net income (loss) before the provision for income taxes were as follows:</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6350</wp:posOffset>
            </wp:positionV>
            <wp:extent cx="13550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9040"/>
        <w:spacing w:after="0"/>
        <w:tabs>
          <w:tab w:leader="none" w:pos="9840" w:val="left"/>
          <w:tab w:leader="none" w:pos="10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-3175</wp:posOffset>
            </wp:positionV>
            <wp:extent cx="13550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96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 (204)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Foreign</w:t>
            </w:r>
          </w:p>
        </w:tc>
        <w:tc>
          <w:tcPr>
            <w:tcW w:w="242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$ 158</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(3,518)</w:t>
            </w: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8,349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420"/>
              <w:spacing w:after="0"/>
              <w:rPr>
                <w:sz w:val="20"/>
                <w:szCs w:val="20"/>
                <w:color w:val="auto"/>
              </w:rPr>
            </w:pPr>
            <w:r>
              <w:rPr>
                <w:rFonts w:ascii="Arial" w:cs="Arial" w:eastAsia="Arial" w:hAnsi="Arial"/>
                <w:sz w:val="18"/>
                <w:szCs w:val="18"/>
                <w:color w:val="auto"/>
              </w:rPr>
              <w:t>The provision for income taxes were as follows:</w:t>
            </w: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12"/>
          </w:tcPr>
          <w:p>
            <w:pPr>
              <w:jc w:val="center"/>
              <w:ind w:right="8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560" w:type="dxa"/>
            <w:vAlign w:val="bottom"/>
            <w:gridSpan w:val="2"/>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5"/>
          </w:tcPr>
          <w:p>
            <w:pPr>
              <w:jc w:val="center"/>
              <w:ind w:left="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Federal</w:t>
            </w:r>
          </w:p>
        </w:tc>
        <w:tc>
          <w:tcPr>
            <w:tcW w:w="24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Foreign</w:t>
            </w:r>
          </w:p>
        </w:tc>
        <w:tc>
          <w:tcPr>
            <w:tcW w:w="256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w:t>
            </w:r>
          </w:p>
        </w:tc>
        <w:tc>
          <w:tcPr>
            <w:tcW w:w="380" w:type="dxa"/>
            <w:vAlign w:val="bottom"/>
            <w:gridSpan w:val="2"/>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income tax expense</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State</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700"/>
              <w:spacing w:after="0"/>
              <w:rPr>
                <w:sz w:val="20"/>
                <w:szCs w:val="20"/>
                <w:color w:val="auto"/>
              </w:rPr>
            </w:pPr>
            <w:r>
              <w:rPr>
                <w:rFonts w:ascii="Arial" w:cs="Arial" w:eastAsia="Arial" w:hAnsi="Arial"/>
                <w:sz w:val="18"/>
                <w:szCs w:val="18"/>
                <w:color w:val="auto"/>
              </w:rPr>
              <w:t>Total deferred income tax expense</w:t>
            </w: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$ 304</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(Tax Act). The Tax Act makes broad and complex changes to the U.S. tax code that affect fiscal 2018, including, but not limited to, requiring a one-time transition tax on certain unrepatriated earnings of foreign subsidiaries that is payable over eight years (Transition Tax) and a reduction in the corporate tax rate to 21%. The Tax Act also establishes new tax laws that will affect later years, a general limitation of U.S.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200" w:right="160"/>
        <w:spacing w:after="0" w:line="273" w:lineRule="auto"/>
        <w:rPr>
          <w:sz w:val="20"/>
          <w:szCs w:val="20"/>
          <w:color w:val="auto"/>
        </w:rPr>
      </w:pPr>
      <w:r>
        <w:rPr>
          <w:rFonts w:ascii="Arial" w:cs="Arial" w:eastAsia="Arial" w:hAnsi="Arial"/>
          <w:sz w:val="17"/>
          <w:szCs w:val="17"/>
          <w:color w:val="auto"/>
        </w:rPr>
        <w:t>federal income taxes on dividends from foreign subsidiaries, net operating loss deduction limitations, a base erosion, anti-tax abuse tax (BEAT) and a deduction for foreign-derived intangible income (FDII) and a new provision designed to tax global intangible low-taxed income (GILTI). Under ASC 740, the effects of changes in tax rates and laws are recognized in the period in which the new legislation is enacted. In the case of U.S. federal income taxes, the enactment date is the date the bill becomes law. We do not expect a financial statement impact as a result of this legislation. We performed a re-measurement of deferred tax assets and liabilities as a result of the decrease in the corporate federal income tax rate to 21%, which was offset by the valuation allowance. We have elected to treat taxes on GILTI as period costs starting in the current year.</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As of January 31, 2019, no provisional estimate had been recorded as we have completed our accounting under the Tax Act.</w:t>
      </w:r>
    </w:p>
    <w:p>
      <w:pPr>
        <w:spacing w:after="0" w:line="165"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accounting for the following elements of the Tax Act is complete: Reduction of U.S. federal Corporate Tax Rate: The Tax Act reduces the corporate tax rate to 21%, effective January 1, 2018. Accordingly, we have re-measured all deferred taxes at 21% as of December 31, 2017 and recorded a decrease related to the net deferred tax asset balance of $0.9 million with a corresponding net adjustment to our valuation allowance. We expect that the U.S. Treasury will issue regulations and other guidance on the application of certain provisions of the Tax Act. We will analyze that guidance and other necessary information to refine our estimates and complete our accounting for the tax effects of the 2017 Tax Act, as necessary.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at federal statutory rate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(1,157)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State taxes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(1,627)</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8"/>
                <w:szCs w:val="18"/>
                <w:color w:val="auto"/>
                <w:w w:val="90"/>
              </w:rPr>
              <w:t>(243)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Differences in U.S. GAAP to local statutory accounting</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 net of FIN48</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Tax uncertainties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0"/>
              </w:rPr>
              <w:t>(648)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(1,895)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(2,477)</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 in federal tax rate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w:t>
            </w: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920" w:type="dxa"/>
            <w:vAlign w:val="bottom"/>
            <w:gridSpan w:val="2"/>
          </w:tcPr>
          <w:p>
            <w:pPr>
              <w:jc w:val="right"/>
              <w:ind w:right="2847"/>
              <w:spacing w:after="0"/>
              <w:rPr>
                <w:sz w:val="20"/>
                <w:szCs w:val="20"/>
                <w:color w:val="auto"/>
              </w:rPr>
            </w:pPr>
            <w:r>
              <w:rPr>
                <w:rFonts w:ascii="Arial" w:cs="Arial" w:eastAsia="Arial" w:hAnsi="Arial"/>
                <w:sz w:val="18"/>
                <w:szCs w:val="18"/>
                <w:color w:val="auto"/>
              </w:rPr>
              <w:t>F-31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Deferred income taxes result from differences in the recognition of expenses for tax and financial reporting purposes, as well as operating loss and tax credit carryforwards. Significant components of our deferred income tax assets as of January 31, 2018 and 2019 are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35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6,040</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 carryforward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and reserves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(4,779)</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Deferred contract acquisition costs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(6,290)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(11,468)</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deferred taxes</w:t>
            </w:r>
          </w:p>
        </w:tc>
        <w:tc>
          <w:tcPr>
            <w:tcW w:w="2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7"/>
              </w:rPr>
              <w:t>(3,154)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taxes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believes it is more likely than not that the deferred tax assets will not be realized; accordingly, a valuation allowance has been established on U.S. net deferred tax assets. The valuation allowance decreased by $3.1 million and $2.3 million for the fiscal years ended January 31, 2018 and 2019, respectively.</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January 31, 2019, we had net operating loss carryforwards of approximately $26.9 million for federal income tax purposes which will begin to expire in 2032 if unused. We had net operating loss carryforwards of approximately $10.7 million for state income tax purposes which will begin to expire in the year 2027 if unused.</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As of January 31, 2019, we also had research and development credit carryforwards of approximately $1.1 million for federal income tax and $1.1 million for state income tax purposes. The federal research and development tax credit will begin to expire in 2036 if unused. State research and development tax credits carryforward indefinitely.</w:t>
      </w:r>
    </w:p>
    <w:p>
      <w:pPr>
        <w:spacing w:after="0" w:line="181"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We have completed a Section 382 calculation and have determined that none of the operating losses will expire solely due to Section 382 limitation(s).</w:t>
      </w:r>
    </w:p>
    <w:p>
      <w:pPr>
        <w:spacing w:after="0" w:line="154"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 xml:space="preserve">We comply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which prescribes a comprehensive model for the recognition, measurement, presentation and disclosure in financial statements of any uncertain tax positions that have been taken or expected to be taken on a tax return. In 2011, we adopted the provisions set forth in ASC 740-10, issued originally as FASB Interpretation No. 48, Accounting for Uncertainty in Income Taxes. This pronouncement sets a “more likely than not” criterion for recognizing the tax benefit of</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uncertain tax positions. Total unrecognized income tax benefits were $2.8 million as of January 31, 2019. We do not anticipate any significant changes to unrecognized tax benefits in the next 12 months. We recognize interest and penalties related to uncertain tax positions in income tax expense.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beginning and ending balance of total unrecognized tax position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Unrecognized</w:t>
            </w: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Tax Benefits</w:t>
            </w: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2016</w:t>
            </w:r>
          </w:p>
        </w:tc>
        <w:tc>
          <w:tcPr>
            <w:tcW w:w="34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2017</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2018</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2019</w:t>
            </w:r>
          </w:p>
        </w:tc>
        <w:tc>
          <w:tcPr>
            <w:tcW w:w="34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policy is to recognize interest and penalties accrued on any unrecognized tax benefits as a component of income tax expense. During the fiscal years ended January 31, 2018 and 2019, we recognized no interest and penalties associated with unrecognized tax benefits. There are no tax positions for which it is reasonably possible that the total amounts of unrecognized tax benefits will significantly increase or decrease within 12 months of the reporting date. If recognized, $1.0 million would affect our effective tax rate.</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file income tax returns in the U.S. federal jurisdiction, various state jurisdictions and various foreign jurisdictions. As of January 31, 2019, all of the years remain open to examination by the federal and state tax authorities for three or four years from the tax year in which net operating losses or tax credits are utilized. There have been no examinations of our income tax returns by any tax authority.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Net Income (Loss) Per Share Attributable to Common Stockholders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Year Ended January 31,</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5"/>
              </w:rPr>
              <w:t>Class A</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5"/>
              </w:rPr>
              <w:t>Class B</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Class B</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9"/>
          </w:tcPr>
          <w:p>
            <w:pPr>
              <w:jc w:val="right"/>
              <w:ind w:right="374"/>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$(3,822)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$ 7,584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Distributed earnings attributable to participating</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(14,366)</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(4,405)</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9"/>
              </w:rPr>
              <w:t>Less: Undistributed earnings attributable to participating</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 stockholders,</w:t>
            </w: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42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(14,380)</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(8,227)</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F-33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w w:val="97"/>
              </w:rPr>
              <w:t>Year Ended January 31,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79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Class A</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Class B</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income (loss) per share attributable to</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common stockholders, basic</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78,119,865</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84,483,094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used in computing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per share attributable to</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diluted</w:t>
            </w: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78,119,865</w:t>
            </w: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116,005,681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common stockholders: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9"/>
              </w:rPr>
              <w:t>Year Ended January 31,</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63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Class B</w:t>
            </w:r>
          </w:p>
        </w:tc>
        <w:tc>
          <w:tcPr>
            <w:tcW w:w="3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Class B</w:t>
            </w: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3"/>
              </w:rPr>
              <w:t>Class A</w:t>
            </w:r>
          </w:p>
        </w:tc>
        <w:tc>
          <w:tcPr>
            <w:tcW w:w="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Class B</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154,031,604</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152,665,804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28,011,000</w:t>
            </w:r>
          </w:p>
        </w:tc>
        <w:tc>
          <w:tcPr>
            <w:tcW w:w="38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34,170,489</w:t>
            </w:r>
          </w:p>
        </w:tc>
        <w:tc>
          <w:tcPr>
            <w:tcW w:w="3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3,541,878</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subject to repurchase from early exercised stock</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and restricted stock</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3,016,224</w:t>
            </w: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2,302,483</w:t>
            </w: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185,058,828</w:t>
            </w:r>
          </w:p>
        </w:tc>
        <w:tc>
          <w:tcPr>
            <w:tcW w:w="38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189,138,776</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3,541,878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convertible promissory notes are contingently convertible (convertible upon completion of an IPO or a qualified financing event as discussed in Note 5), and the conditions for the convertible feature were not satisfied as of January 31, 2019. We have excluded these potential dilutive shares from the calculation of diluted net income per share attributable to common stockholders for the period.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Basic and diluted EPS are the same for each class of common stock because they are entitled to the same liquidation and dividend rights.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Income Per Share Attributable to Common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presented the unaudited pro forma basic and diluted net income per share for fiscal 2019, which has been computed to give effect to the conversion of our convertible preferred stock into Class B common stock and conversion of convertible promissory notes into Class A common stock (using the if-converted method) as though the conversion had occurred as of the beginning of the period or the original date of issuance, if later. The pro forma net income per share does not include shares being offered in the assumed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our unaudited pro forma basic and diluted net income per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Year Ended January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2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income attributable to common stockholders, basic and diluted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convertible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Interest expense related to convertible promissory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amortization of debt discount for convertible promissory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Remeasurement of derivative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Reallocation of net income attributable to common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Pro forma net income attributable to common stockholders, basic</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Reallocation of net income attributable to common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attributable to common stockholders, 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income per share attributable to common stockholders,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84,483,094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 income per share attributable to common stockholders,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116,005,681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Weighted-average pro forma adjustment to reflect assumed conversion of convertible preferred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152,665,804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pro forma adjustment to reflect assumed conversion of convertible promissory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141,028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480" w:type="dxa"/>
            <w:vAlign w:val="bottom"/>
            <w:gridSpan w:val="2"/>
          </w:tcPr>
          <w:p>
            <w:pPr>
              <w:spacing w:after="0"/>
              <w:rPr>
                <w:sz w:val="20"/>
                <w:szCs w:val="20"/>
                <w:color w:val="auto"/>
              </w:rPr>
            </w:pPr>
            <w:r>
              <w:rPr>
                <w:rFonts w:ascii="Arial" w:cs="Arial" w:eastAsia="Arial" w:hAnsi="Arial"/>
                <w:sz w:val="18"/>
                <w:szCs w:val="18"/>
                <w:color w:val="auto"/>
              </w:rPr>
              <w:t>Weighted-average shares used in computing pro forma net income per share attributable to common</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stockholders, basic</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141,028</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237,148,898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used in computing pro forma net income per share attributable to common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diluted</w:t>
            </w: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141,028</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268,671,485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per share attributable to common stockholders:</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03</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In November 2015, we provided a loan under a full recourse promissory note to our CEO in the amount of $2.0 million. The promissory note had a term of six months and bore interest at a rate that is the greater of (i) 4% per annum, compounded annually and (ii) the Applicable Federal Rate (as set by the Internal Revenue Service), per annum, compounded annually. In March 2016, our CEO repaid the note receivable principal balance of $2.0 million and an immaterial amount of accrued interest.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October 2015, we entered into a three-year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Revenue recognized under this agreement was immaterial during the periods presented.</w:t>
      </w:r>
    </w:p>
    <w:p>
      <w:pPr>
        <w:spacing w:after="0" w:line="18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In September 2016, we entered into a service agreement with Veeva Systems Inc. (Veeva), a cloud-based business solutions company. The chief executive officer of Veeva serves as a director on our board of directors. Revenue recognized from services provided to Veeva was $0.3 million, $1.4 million and $1.3 million for the fiscal years ended January 31, 2017, 2018 and 2019, respectively.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evaluated subsequent events from the balance sheet date through March 22, 2019, the date at which the consolidated financial statements were available to be issued.</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Subsequent to January 31, 2019, we granted stock options to purchase up to 760,700 shares of Class B common stock with a weighted-average exercise price of $24.10 per share.</w:t>
      </w:r>
    </w:p>
    <w:p>
      <w:pPr>
        <w:spacing w:after="0" w:line="170"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Subsequent to January 31, 2019, we entered into an agreement to lease additional space and extend the term of existing leases located in the United States. We expect to make $14.0 million of additional rent payments over the term of these leases, which expires during the year ending January 31, 2030.</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Events (Unaudited) Subsequent to the Date of the Report of the Independent Registered Public Accounting Firm</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Subsequent to March 22, 2019, we granted stock options to purchase up to 396,800 shares of Class B common stock with an exercise price of $30.00 per share. All options granted after January 31, 2019 generally vest over a period of 48 months. Based on the midpoint of the estimated price range set forth on the cover page of this prospectus, we estimate we will recognize approximately $23.7 million of stock-based compensation expense related to these stock options granted after January 31, 2019 generally over the requisite service period of 48 months.</w:t>
      </w:r>
    </w:p>
    <w:p>
      <w:pPr>
        <w:spacing w:after="0" w:line="17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In addition, in light of the difference between the fair value used for stock options granted on January 24, 2019 and the midpoint of the estimated price range set forth on the cover page of this prospectus, in order to determine the appropriate share-based compensation expense for those stock options for financial reporting purposes, we reassessed the share-based compensation expense using the midpoint of the estimated price range. We are recognizing $17.9 million of stock-based compensation expense related to these option grants generally over the requisite service period of 48 months. Since these options were granted near the end of fiscal 2019, the amount of stock-based compensation expense recognized in that fiscal period for these stock option grants is immaterial, and the incremental amount of additional expense in fiscal 2019 as a result of this reassessment using the midpoint of the estimated price range is also immaterial. Therefore, we will record an out-of-period adjustment in the first quarter of fiscal 2020 to “catch-up” the incremental amount of additional expense for these stock option grants that would have otherwise been recorded in fiscal 2019.</w:t>
      </w:r>
    </w:p>
    <w:p>
      <w:pPr>
        <w:spacing w:after="0" w:line="166"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April 2019, we entered into a purchase agreement with Salesforce Ventures LLC to purchase $100.0 million of our Class A common stock in a private placement at a price per share equal to the initial public offering price. The purchase of our Class A common stock will occur immediately subsequent to the closing of our initial public offering.</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April 2019, our Board of Directors adopted the 2019 Equity Incentive Plan and reserved 58,300,889 shares of our Class A common stock for issuance under the plan and the 2019 Employee Stock Purchase Plan and reserved 9.0 million shares of our Class A common stock for future issuance under the plan.</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April 2019, our Board of Directors approved an amendment to our certificate of incorporation to authorize 2.0 billion shares of Class A common stock, 300.0 million shares of Class B common stock, 200.0 million shares of preferred stock, which will be filed and become effective upon the closing of our IPO.</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020"/>
          </w:cols>
          <w:pgMar w:left="240" w:top="459" w:right="63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220345</wp:posOffset>
            </wp:positionV>
            <wp:extent cx="5068570" cy="67233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68570" cy="672338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3393440</wp:posOffset>
            </wp:positionV>
            <wp:extent cx="3087370" cy="694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087370" cy="6946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exchange listing fee.</w:t>
      </w:r>
    </w:p>
    <w:p>
      <w:pPr>
        <w:sectPr>
          <w:pgSz w:w="11900" w:h="16838" w:orient="portrait"/>
          <w:cols w:equalWidth="0" w:num="1">
            <w:col w:w="11220"/>
          </w:cols>
          <w:pgMar w:left="240" w:top="460" w:right="439" w:bottom="1440" w:gutter="0" w:footer="0" w:header="0"/>
        </w:sectPr>
      </w:pPr>
    </w:p>
    <w:p>
      <w:pPr>
        <w:spacing w:after="0" w:line="35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FINRA filing fee</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7"/>
          <w:szCs w:val="17"/>
          <w:color w:val="auto"/>
        </w:rPr>
        <w:t>Accountants’ fees and expenses</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5"/>
          <w:szCs w:val="15"/>
          <w:color w:val="auto"/>
        </w:rPr>
        <w:t>Transfer Agent’s fees and expenses</w:t>
      </w:r>
    </w:p>
    <w:p>
      <w:pPr>
        <w:spacing w:after="0" w:line="44"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-123190</wp:posOffset>
            </wp:positionV>
            <wp:extent cx="475107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jc w:val="right"/>
        <w:ind w:right="1840"/>
        <w:spacing w:after="0"/>
        <w:tabs>
          <w:tab w:leader="none" w:pos="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101,808</w:t>
      </w:r>
    </w:p>
    <w:p>
      <w:pPr>
        <w:spacing w:after="0" w:line="8"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126,500</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150,000</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2,200,000</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1,500,000</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10,000</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400,000</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11,692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314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$ 4,500,000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5314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745" w:lineRule="exact"/>
        <w:rPr>
          <w:sz w:val="20"/>
          <w:szCs w:val="20"/>
          <w:color w:val="auto"/>
        </w:rPr>
      </w:pPr>
    </w:p>
    <w:p>
      <w:pPr>
        <w:sectPr>
          <w:pgSz w:w="11900" w:h="16838" w:orient="portrait"/>
          <w:cols w:equalWidth="0" w:num="2">
            <w:col w:w="7840" w:space="720"/>
            <w:col w:w="2660"/>
          </w:cols>
          <w:pgMar w:left="240" w:top="460" w:right="439" w:bottom="1440" w:gutter="0" w:footer="0" w:header="0"/>
          <w:type w:val="continuous"/>
        </w:sectPr>
      </w:pPr>
    </w:p>
    <w:p>
      <w:pPr>
        <w:ind w:left="200" w:right="120" w:firstLine="441"/>
        <w:spacing w:after="0" w:line="255"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upon the completion of this offering permits indemnification of our directors, officers, employees and other agents to the maximum extent permitted by the Delaware General Corporation Law, and our amended and restated bylaws that will be in effect upon the completion of this offering provide that we will indemnify our directors and officers and permit us to indemnify our employees and other agents, in each case to the maximum extent permitted by the Delaware General Corporation Law.</w:t>
      </w:r>
    </w:p>
    <w:p>
      <w:pPr>
        <w:spacing w:after="0" w:line="18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Video Communications, Inc., provided that such director or officer acted in good faith and in a manner that the director or officer reasonably believed to be in, or not opposed to, the best interest of Zoom Video Communications, Inc. At present, there is no pending litigation or proceeding involving a director or officer of Zoom Video Communications, Inc. regarding which indemnification is sought, nor is the registrant aware of any threatened litigation that may result in claims for indemnification.</w:t>
      </w:r>
    </w:p>
    <w:p>
      <w:pPr>
        <w:spacing w:after="0" w:line="189"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January 1, 2016, we have issued the following unregistered securities:</w:t>
      </w:r>
    </w:p>
    <w:p>
      <w:pPr>
        <w:spacing w:after="0" w:line="131" w:lineRule="exact"/>
        <w:rPr>
          <w:sz w:val="20"/>
          <w:szCs w:val="20"/>
          <w:color w:val="auto"/>
        </w:rPr>
      </w:pPr>
    </w:p>
    <w:p>
      <w:pPr>
        <w:ind w:left="1060" w:hanging="310"/>
        <w:spacing w:after="0" w:line="308"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From December 2016 through January 2017, we sold an aggregate of 30,727,064 shares of our Series D convertible preferred stock to a total of nine accredited investors at a purchase price of $3.74 per share for an aggregate purchase price of $115.0 million.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60" w:right="43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80" w:hanging="310"/>
        <w:spacing w:after="0" w:line="264"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Since January 1, 2016, we granted to certain employees, consultants and directors options to purchase an aggregate of 25,913,400 shares of our Class B common stock under our 2011 Plan at exercise prices ranging from $0.30 to $30.00 per share, for an aggregate exercise price of $85,463,504.</w:t>
      </w:r>
    </w:p>
    <w:p>
      <w:pPr>
        <w:spacing w:after="0" w:line="86" w:lineRule="exact"/>
        <w:rPr>
          <w:rFonts w:ascii="Arial" w:cs="Arial" w:eastAsia="Arial" w:hAnsi="Arial"/>
          <w:sz w:val="18"/>
          <w:szCs w:val="18"/>
          <w:color w:val="auto"/>
        </w:rPr>
      </w:pPr>
    </w:p>
    <w:p>
      <w:pPr>
        <w:ind w:left="1060" w:right="380" w:hanging="310"/>
        <w:spacing w:after="0" w:line="342" w:lineRule="auto"/>
        <w:tabs>
          <w:tab w:leader="none" w:pos="10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Since January 1, 2016, we issued and sold an aggregate of 33,595,792 shares of our Class B common stock upon the exercise of options under our 2011 Plan, at exercise prices ranging from $0.015 to $10.79 per share, for an aggregate exercise price of $6,243,726.</w:t>
      </w:r>
    </w:p>
    <w:p>
      <w:pPr>
        <w:spacing w:after="0" w:line="29" w:lineRule="exact"/>
        <w:rPr>
          <w:rFonts w:ascii="Arial" w:cs="Arial" w:eastAsia="Arial" w:hAnsi="Arial"/>
          <w:sz w:val="16"/>
          <w:szCs w:val="16"/>
          <w:color w:val="auto"/>
        </w:rPr>
      </w:pPr>
    </w:p>
    <w:p>
      <w:pPr>
        <w:ind w:left="1060" w:hanging="310"/>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October 2018, we issued $15.0 million in principal amount of convertible promissory notes.</w:t>
      </w:r>
    </w:p>
    <w:p>
      <w:pPr>
        <w:spacing w:after="0" w:line="225"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w:t>
      </w:r>
    </w:p>
    <w:p>
      <w:pPr>
        <w:spacing w:after="0" w:line="2" w:lineRule="exact"/>
        <w:rPr>
          <w:sz w:val="20"/>
          <w:szCs w:val="20"/>
          <w:color w:val="auto"/>
        </w:rPr>
      </w:pPr>
    </w:p>
    <w:p>
      <w:pPr>
        <w:jc w:val="both"/>
        <w:ind w:left="200" w:right="100" w:firstLine="4"/>
        <w:spacing w:after="0" w:line="254" w:lineRule="auto"/>
        <w:tabs>
          <w:tab w:leader="none" w:pos="5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92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3"/>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5"/>
                <w:szCs w:val="15"/>
                <w:color w:val="auto"/>
              </w:rPr>
            </w:pPr>
          </w:p>
        </w:tc>
        <w:tc>
          <w:tcPr>
            <w:tcW w:w="992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3"/>
                <w:szCs w:val="23"/>
                <w:color w:val="auto"/>
              </w:rPr>
            </w:pPr>
          </w:p>
        </w:tc>
        <w:tc>
          <w:tcPr>
            <w:tcW w:w="9920" w:type="dxa"/>
            <w:vAlign w:val="bottom"/>
            <w:gridSpan w:val="16"/>
          </w:tcPr>
          <w:p>
            <w:pPr>
              <w:spacing w:after="0"/>
              <w:rPr>
                <w:rFonts w:ascii="Arial" w:cs="Arial" w:eastAsia="Arial" w:hAnsi="Arial"/>
                <w:sz w:val="18"/>
                <w:szCs w:val="18"/>
                <w:color w:val="0000EE"/>
              </w:rPr>
            </w:pPr>
            <w:hyperlink r:id="rId262">
              <w:r>
                <w:rPr>
                  <w:rFonts w:ascii="Arial" w:cs="Arial" w:eastAsia="Arial" w:hAnsi="Arial"/>
                  <w:sz w:val="18"/>
                  <w:szCs w:val="18"/>
                  <w:color w:val="0000EE"/>
                </w:rPr>
                <w:t>Form of Underwriting Agreement.</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r:id="rId263">
              <w:r>
                <w:rPr>
                  <w:rFonts w:ascii="Arial" w:cs="Arial" w:eastAsia="Arial" w:hAnsi="Arial"/>
                  <w:sz w:val="18"/>
                  <w:szCs w:val="18"/>
                  <w:color w:val="0000EE"/>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7420" w:type="dxa"/>
            <w:vAlign w:val="bottom"/>
            <w:tcBorders>
              <w:bottom w:val="single" w:sz="8" w:color="0000EE"/>
            </w:tcBorders>
            <w:gridSpan w:val="10"/>
          </w:tcPr>
          <w:p>
            <w:pPr>
              <w:spacing w:after="0"/>
              <w:rPr>
                <w:rFonts w:ascii="Arial" w:cs="Arial" w:eastAsia="Arial" w:hAnsi="Arial"/>
                <w:sz w:val="18"/>
                <w:szCs w:val="18"/>
                <w:color w:val="0000EE"/>
                <w:w w:val="89"/>
              </w:rPr>
            </w:pPr>
            <w:hyperlink r:id="rId264">
              <w:r>
                <w:rPr>
                  <w:rFonts w:ascii="Arial" w:cs="Arial" w:eastAsia="Arial" w:hAnsi="Arial"/>
                  <w:sz w:val="18"/>
                  <w:szCs w:val="18"/>
                  <w:color w:val="0000EE"/>
                  <w:w w:val="89"/>
                </w:rPr>
                <w:t>Amended and Restated Bylaws of the Registrant, as amended February 14, 2018, as currently in effect.</w:t>
              </w:r>
            </w:hyperlink>
          </w:p>
        </w:tc>
        <w:tc>
          <w:tcPr>
            <w:tcW w:w="2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4"/>
                <w:szCs w:val="24"/>
                <w:color w:val="auto"/>
              </w:rPr>
            </w:pPr>
          </w:p>
        </w:tc>
        <w:tc>
          <w:tcPr>
            <w:tcW w:w="9820" w:type="dxa"/>
            <w:vAlign w:val="bottom"/>
            <w:tcBorders>
              <w:bottom w:val="single" w:sz="8" w:color="0000EE"/>
            </w:tcBorders>
            <w:gridSpan w:val="15"/>
          </w:tcPr>
          <w:p>
            <w:pPr>
              <w:spacing w:after="0"/>
              <w:rPr>
                <w:rFonts w:ascii="Arial" w:cs="Arial" w:eastAsia="Arial" w:hAnsi="Arial"/>
                <w:sz w:val="18"/>
                <w:szCs w:val="18"/>
                <w:color w:val="0000EE"/>
                <w:w w:val="91"/>
              </w:rPr>
            </w:pPr>
            <w:hyperlink r:id="rId265">
              <w:r>
                <w:rPr>
                  <w:rFonts w:ascii="Arial" w:cs="Arial" w:eastAsia="Arial" w:hAnsi="Arial"/>
                  <w:sz w:val="18"/>
                  <w:szCs w:val="18"/>
                  <w:color w:val="0000EE"/>
                  <w:w w:val="91"/>
                </w:rPr>
                <w:t>Form of Amended and Restated Certificate of Incorporation of the Registrant, to be effective immediately prior to the completion of this</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265">
              <w:r>
                <w:rPr>
                  <w:rFonts w:ascii="Arial" w:cs="Arial" w:eastAsia="Arial" w:hAnsi="Arial"/>
                  <w:sz w:val="18"/>
                  <w:szCs w:val="18"/>
                  <w:color w:val="0000EE"/>
                  <w:w w:val="92"/>
                </w:rPr>
                <w:t>offering.</w:t>
              </w:r>
            </w:hyperlink>
          </w:p>
        </w:tc>
        <w:tc>
          <w:tcPr>
            <w:tcW w:w="93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r:id="rId266">
              <w:r>
                <w:rPr>
                  <w:rFonts w:ascii="Arial" w:cs="Arial" w:eastAsia="Arial" w:hAnsi="Arial"/>
                  <w:sz w:val="18"/>
                  <w:szCs w:val="18"/>
                  <w:color w:val="0000EE"/>
                </w:rPr>
                <w:t>Form of Amended and Restated Bylaws of the Registrant, to be effective immediately prior to the completion of this offering.</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4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267">
              <w:r>
                <w:rPr>
                  <w:rFonts w:ascii="Arial" w:cs="Arial" w:eastAsia="Arial" w:hAnsi="Arial"/>
                  <w:sz w:val="18"/>
                  <w:szCs w:val="18"/>
                  <w:color w:val="0000EE"/>
                  <w:w w:val="91"/>
                </w:rPr>
                <w:t>Form of Class A common stock certificate of the Registrant.</w:t>
              </w:r>
            </w:hyperlink>
          </w:p>
        </w:tc>
        <w:tc>
          <w:tcPr>
            <w:tcW w:w="4700" w:type="dxa"/>
            <w:vAlign w:val="bottom"/>
            <w:tcBorders>
              <w:top w:val="single" w:sz="8" w:color="0000EE"/>
            </w:tcBorders>
            <w:gridSpan w:val="8"/>
          </w:tcPr>
          <w:p>
            <w:pPr>
              <w:spacing w:after="0"/>
              <w:rPr>
                <w:sz w:val="24"/>
                <w:szCs w:val="24"/>
                <w:color w:val="auto"/>
              </w:rPr>
            </w:pPr>
          </w:p>
        </w:tc>
        <w:tc>
          <w:tcPr>
            <w:tcW w:w="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Arial" w:cs="Arial" w:eastAsia="Arial" w:hAnsi="Arial"/>
                <w:sz w:val="18"/>
                <w:szCs w:val="18"/>
                <w:color w:val="0000EE"/>
                <w:w w:val="98"/>
              </w:rPr>
              <w:t>Third Amended and Restated Investors’ Rights Agreement by and among the Registrant and certain of its stockholders, 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December 1, 2016.</w:t>
            </w:r>
          </w:p>
        </w:tc>
        <w:tc>
          <w:tcPr>
            <w:tcW w:w="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Opinion of Cooley LLP.</w:t>
            </w:r>
          </w:p>
        </w:tc>
        <w:tc>
          <w:tcPr>
            <w:tcW w:w="81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10.1#</w:t>
            </w:r>
          </w:p>
        </w:tc>
        <w:tc>
          <w:tcPr>
            <w:tcW w:w="600" w:type="dxa"/>
            <w:vAlign w:val="bottom"/>
          </w:tcPr>
          <w:p>
            <w:pPr>
              <w:spacing w:after="0"/>
              <w:rPr>
                <w:sz w:val="24"/>
                <w:szCs w:val="24"/>
                <w:color w:val="auto"/>
              </w:rPr>
            </w:pPr>
          </w:p>
        </w:tc>
        <w:tc>
          <w:tcPr>
            <w:tcW w:w="9260" w:type="dxa"/>
            <w:vAlign w:val="bottom"/>
            <w:tcBorders>
              <w:bottom w:val="single" w:sz="8" w:color="0000EE"/>
            </w:tcBorders>
            <w:gridSpan w:val="14"/>
          </w:tcPr>
          <w:p>
            <w:pPr>
              <w:spacing w:after="0"/>
              <w:rPr>
                <w:rFonts w:ascii="Arial" w:cs="Arial" w:eastAsia="Arial" w:hAnsi="Arial"/>
                <w:sz w:val="18"/>
                <w:szCs w:val="18"/>
                <w:color w:val="0000EE"/>
                <w:w w:val="89"/>
              </w:rPr>
            </w:pPr>
            <w:hyperlink r:id="rId268">
              <w:r>
                <w:rPr>
                  <w:rFonts w:ascii="Arial" w:cs="Arial" w:eastAsia="Arial" w:hAnsi="Arial"/>
                  <w:sz w:val="18"/>
                  <w:szCs w:val="18"/>
                  <w:color w:val="0000EE"/>
                  <w:w w:val="89"/>
                </w:rPr>
                <w:t>Zoom Video Communications, Inc. Fourth Amended and Restated 2011 Global Share Plan, and forms of agreements thereunder.</w:t>
              </w:r>
            </w:hyperlink>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10.2#</w:t>
            </w:r>
          </w:p>
        </w:tc>
        <w:tc>
          <w:tcPr>
            <w:tcW w:w="60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r:id="rId269">
              <w:r>
                <w:rPr>
                  <w:rFonts w:ascii="Arial" w:cs="Arial" w:eastAsia="Arial" w:hAnsi="Arial"/>
                  <w:sz w:val="18"/>
                  <w:szCs w:val="18"/>
                  <w:color w:val="0000EE"/>
                </w:rPr>
                <w:t>Zoom Video Communications, Inc. 2019 Equity Incentive Plan and forms of agreements thereunder.</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10.3#</w:t>
            </w:r>
          </w:p>
        </w:tc>
        <w:tc>
          <w:tcPr>
            <w:tcW w:w="600" w:type="dxa"/>
            <w:vAlign w:val="bottom"/>
          </w:tcPr>
          <w:p>
            <w:pPr>
              <w:spacing w:after="0"/>
              <w:rPr>
                <w:sz w:val="24"/>
                <w:szCs w:val="24"/>
                <w:color w:val="auto"/>
              </w:rPr>
            </w:pPr>
          </w:p>
        </w:tc>
        <w:tc>
          <w:tcPr>
            <w:tcW w:w="5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r:id="rId270">
              <w:r>
                <w:rPr>
                  <w:rFonts w:ascii="Arial" w:cs="Arial" w:eastAsia="Arial" w:hAnsi="Arial"/>
                  <w:sz w:val="18"/>
                  <w:szCs w:val="18"/>
                  <w:color w:val="0000EE"/>
                  <w:w w:val="90"/>
                </w:rPr>
                <w:t>Zoom Video Communications, Inc. 2019 Employee Stock Purchase Plan.</w:t>
              </w:r>
            </w:hyperlink>
          </w:p>
        </w:tc>
        <w:tc>
          <w:tcPr>
            <w:tcW w:w="1940" w:type="dxa"/>
            <w:vAlign w:val="bottom"/>
            <w:tcBorders>
              <w:top w:val="single" w:sz="8" w:color="0000EE"/>
            </w:tcBorders>
            <w:gridSpan w:val="2"/>
          </w:tcPr>
          <w:p>
            <w:pPr>
              <w:spacing w:after="0"/>
              <w:rPr>
                <w:sz w:val="24"/>
                <w:szCs w:val="24"/>
                <w:color w:val="auto"/>
              </w:rPr>
            </w:pPr>
          </w:p>
        </w:tc>
        <w:tc>
          <w:tcPr>
            <w:tcW w:w="27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10.4#</w:t>
            </w:r>
          </w:p>
        </w:tc>
        <w:tc>
          <w:tcPr>
            <w:tcW w:w="600" w:type="dxa"/>
            <w:vAlign w:val="bottom"/>
          </w:tcPr>
          <w:p>
            <w:pPr>
              <w:spacing w:after="0"/>
              <w:rPr>
                <w:sz w:val="24"/>
                <w:szCs w:val="24"/>
                <w:color w:val="auto"/>
              </w:rPr>
            </w:pPr>
          </w:p>
        </w:tc>
        <w:tc>
          <w:tcPr>
            <w:tcW w:w="8620" w:type="dxa"/>
            <w:vAlign w:val="bottom"/>
            <w:tcBorders>
              <w:bottom w:val="single" w:sz="8" w:color="0000EE"/>
            </w:tcBorders>
            <w:gridSpan w:val="11"/>
          </w:tcPr>
          <w:p>
            <w:pPr>
              <w:spacing w:after="0"/>
              <w:rPr>
                <w:rFonts w:ascii="Arial" w:cs="Arial" w:eastAsia="Arial" w:hAnsi="Arial"/>
                <w:sz w:val="18"/>
                <w:szCs w:val="18"/>
                <w:color w:val="0000EE"/>
                <w:w w:val="90"/>
              </w:rPr>
            </w:pPr>
            <w:hyperlink r:id="rId271">
              <w:r>
                <w:rPr>
                  <w:rFonts w:ascii="Arial" w:cs="Arial" w:eastAsia="Arial" w:hAnsi="Arial"/>
                  <w:sz w:val="18"/>
                  <w:szCs w:val="18"/>
                  <w:color w:val="0000EE"/>
                  <w:w w:val="90"/>
                </w:rPr>
                <w:t>Form of Indemnification Agreement entered into by and between the Registrant and each director and executive officer.</w:t>
              </w:r>
            </w:hyperlink>
          </w:p>
        </w:tc>
        <w:tc>
          <w:tcPr>
            <w:tcW w:w="1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10.5#</w:t>
            </w:r>
          </w:p>
        </w:tc>
        <w:tc>
          <w:tcPr>
            <w:tcW w:w="600" w:type="dxa"/>
            <w:vAlign w:val="bottom"/>
          </w:tcPr>
          <w:p>
            <w:pPr>
              <w:spacing w:after="0"/>
              <w:rPr>
                <w:sz w:val="24"/>
                <w:szCs w:val="24"/>
                <w:color w:val="auto"/>
              </w:rPr>
            </w:pPr>
          </w:p>
        </w:tc>
        <w:tc>
          <w:tcPr>
            <w:tcW w:w="9920" w:type="dxa"/>
            <w:vAlign w:val="bottom"/>
            <w:gridSpan w:val="16"/>
          </w:tcPr>
          <w:p>
            <w:pPr>
              <w:spacing w:after="0"/>
              <w:rPr>
                <w:rFonts w:ascii="Arial" w:cs="Arial" w:eastAsia="Arial" w:hAnsi="Arial"/>
                <w:sz w:val="18"/>
                <w:szCs w:val="18"/>
                <w:color w:val="0000EE"/>
              </w:rPr>
            </w:pPr>
            <w:hyperlink r:id="rId272">
              <w:r>
                <w:rPr>
                  <w:rFonts w:ascii="Arial" w:cs="Arial" w:eastAsia="Arial" w:hAnsi="Arial"/>
                  <w:sz w:val="18"/>
                  <w:szCs w:val="18"/>
                  <w:color w:val="0000EE"/>
                </w:rPr>
                <w:t>Confirmatory Offer Letter by and between the Registrant and Eric S. Yuan, dated December 18, 2018.</w:t>
              </w:r>
            </w:hyperlink>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860" w:type="dxa"/>
            <w:vAlign w:val="bottom"/>
            <w:tcBorders>
              <w:top w:val="single" w:sz="8" w:color="0000EE"/>
            </w:tcBorders>
            <w:gridSpan w:val="5"/>
          </w:tcPr>
          <w:p>
            <w:pPr>
              <w:ind w:left="1780"/>
              <w:spacing w:after="0"/>
              <w:rPr>
                <w:sz w:val="20"/>
                <w:szCs w:val="20"/>
                <w:color w:val="auto"/>
              </w:rPr>
            </w:pPr>
            <w:r>
              <w:rPr>
                <w:rFonts w:ascii="Arial" w:cs="Arial" w:eastAsia="Arial" w:hAnsi="Arial"/>
                <w:sz w:val="18"/>
                <w:szCs w:val="18"/>
                <w:color w:val="auto"/>
              </w:rPr>
              <w:t>II-2</w:t>
            </w:r>
          </w:p>
        </w:tc>
        <w:tc>
          <w:tcPr>
            <w:tcW w:w="25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92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5"/>
                <w:szCs w:val="15"/>
                <w:color w:val="auto"/>
              </w:rPr>
            </w:pPr>
          </w:p>
        </w:tc>
        <w:tc>
          <w:tcPr>
            <w:tcW w:w="992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3"/>
                <w:szCs w:val="23"/>
                <w:color w:val="auto"/>
              </w:rPr>
            </w:pPr>
          </w:p>
        </w:tc>
        <w:tc>
          <w:tcPr>
            <w:tcW w:w="9920" w:type="dxa"/>
            <w:vAlign w:val="bottom"/>
            <w:gridSpan w:val="12"/>
          </w:tcPr>
          <w:p>
            <w:pPr>
              <w:spacing w:after="0"/>
              <w:rPr>
                <w:rFonts w:ascii="Arial" w:cs="Arial" w:eastAsia="Arial" w:hAnsi="Arial"/>
                <w:sz w:val="18"/>
                <w:szCs w:val="18"/>
                <w:color w:val="0000EE"/>
              </w:rPr>
            </w:pPr>
            <w:hyperlink r:id="rId274">
              <w:r>
                <w:rPr>
                  <w:rFonts w:ascii="Arial" w:cs="Arial" w:eastAsia="Arial" w:hAnsi="Arial"/>
                  <w:sz w:val="18"/>
                  <w:szCs w:val="18"/>
                  <w:color w:val="0000EE"/>
                </w:rPr>
                <w:t>Confirmatory Offer Letter by and between the Registrant and Aparna Bawa, dated December 18, 2018.</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7420" w:type="dxa"/>
            <w:vAlign w:val="bottom"/>
            <w:tcBorders>
              <w:top w:val="single" w:sz="8" w:color="0000EE"/>
            </w:tcBorders>
            <w:gridSpan w:val="8"/>
          </w:tcPr>
          <w:p>
            <w:pPr>
              <w:spacing w:after="0"/>
              <w:rPr>
                <w:rFonts w:ascii="Arial" w:cs="Arial" w:eastAsia="Arial" w:hAnsi="Arial"/>
                <w:sz w:val="18"/>
                <w:szCs w:val="18"/>
                <w:color w:val="0000EE"/>
                <w:w w:val="90"/>
              </w:rPr>
            </w:pPr>
            <w:hyperlink r:id="rId275">
              <w:r>
                <w:rPr>
                  <w:rFonts w:ascii="Arial" w:cs="Arial" w:eastAsia="Arial" w:hAnsi="Arial"/>
                  <w:sz w:val="18"/>
                  <w:szCs w:val="18"/>
                  <w:color w:val="0000EE"/>
                  <w:w w:val="90"/>
                </w:rPr>
                <w:t>Confirmatory Offer Letter by and between the Registrant and Janine Pelosi, dated December 18, 2018.</w:t>
              </w:r>
            </w:hyperlink>
          </w:p>
        </w:tc>
        <w:tc>
          <w:tcPr>
            <w:tcW w:w="2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rPr>
            </w:pPr>
            <w:hyperlink r:id="rId276">
              <w:r>
                <w:rPr>
                  <w:rFonts w:ascii="Arial" w:cs="Arial" w:eastAsia="Arial" w:hAnsi="Arial"/>
                  <w:sz w:val="18"/>
                  <w:szCs w:val="18"/>
                  <w:color w:val="0000EE"/>
                </w:rPr>
                <w:t>Confirmatory Offer Letter by and between the Registrant and Kelly Steckelberg, dated December 18,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9260" w:type="dxa"/>
            <w:vAlign w:val="bottom"/>
            <w:tcBorders>
              <w:bottom w:val="single" w:sz="8" w:color="0000EE"/>
            </w:tcBorders>
            <w:gridSpan w:val="10"/>
          </w:tcPr>
          <w:p>
            <w:pPr>
              <w:spacing w:after="0"/>
              <w:rPr>
                <w:rFonts w:ascii="Arial" w:cs="Arial" w:eastAsia="Arial" w:hAnsi="Arial"/>
                <w:sz w:val="18"/>
                <w:szCs w:val="18"/>
                <w:color w:val="0000EE"/>
                <w:w w:val="90"/>
              </w:rPr>
            </w:pPr>
            <w:hyperlink r:id="rId277">
              <w:r>
                <w:rPr>
                  <w:rFonts w:ascii="Arial" w:cs="Arial" w:eastAsia="Arial" w:hAnsi="Arial"/>
                  <w:sz w:val="18"/>
                  <w:szCs w:val="18"/>
                  <w:color w:val="0000EE"/>
                  <w:w w:val="90"/>
                </w:rPr>
                <w:t>Lease Agreement dated August 1, 2016, as amended, by and between the Registrant and KBSIII Almaden Financial Plaza, LLC.</w:t>
              </w:r>
            </w:hyperlink>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10.10#</w:t>
            </w:r>
          </w:p>
        </w:tc>
        <w:tc>
          <w:tcPr>
            <w:tcW w:w="60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rPr>
            </w:pPr>
            <w:hyperlink r:id="rId278">
              <w:r>
                <w:rPr>
                  <w:rFonts w:ascii="Arial" w:cs="Arial" w:eastAsia="Arial" w:hAnsi="Arial"/>
                  <w:sz w:val="18"/>
                  <w:szCs w:val="18"/>
                  <w:color w:val="0000EE"/>
                </w:rPr>
                <w:t>Zoom Video Communications, Inc. Officer Incentive Plan.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10.11#</w:t>
            </w:r>
          </w:p>
        </w:tc>
        <w:tc>
          <w:tcPr>
            <w:tcW w:w="60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w w:val="91"/>
              </w:rPr>
            </w:pPr>
            <w:hyperlink r:id="rId279">
              <w:r>
                <w:rPr>
                  <w:rFonts w:ascii="Arial" w:cs="Arial" w:eastAsia="Arial" w:hAnsi="Arial"/>
                  <w:sz w:val="18"/>
                  <w:szCs w:val="18"/>
                  <w:color w:val="0000EE"/>
                  <w:w w:val="91"/>
                </w:rPr>
                <w:t>Common Stock Purchase Agreement by and among the Registrant, salesforce.com, inc. and Salesforce Ventures LLC, dated as of April</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180" w:type="dxa"/>
            <w:vAlign w:val="bottom"/>
            <w:gridSpan w:val="2"/>
          </w:tcPr>
          <w:p>
            <w:pPr>
              <w:ind w:left="600"/>
              <w:spacing w:after="0" w:line="196" w:lineRule="exact"/>
              <w:rPr>
                <w:rFonts w:ascii="Arial" w:cs="Arial" w:eastAsia="Arial" w:hAnsi="Arial"/>
                <w:sz w:val="18"/>
                <w:szCs w:val="18"/>
                <w:color w:val="0000EE"/>
                <w:w w:val="86"/>
              </w:rPr>
            </w:pPr>
            <w:hyperlink r:id="rId279">
              <w:r>
                <w:rPr>
                  <w:rFonts w:ascii="Arial" w:cs="Arial" w:eastAsia="Arial" w:hAnsi="Arial"/>
                  <w:sz w:val="18"/>
                  <w:szCs w:val="18"/>
                  <w:color w:val="0000EE"/>
                  <w:w w:val="86"/>
                </w:rPr>
                <w:t>5, 2019.</w:t>
              </w:r>
            </w:hyperlink>
          </w:p>
        </w:tc>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4"/>
                <w:szCs w:val="24"/>
                <w:color w:val="auto"/>
              </w:rPr>
            </w:pPr>
          </w:p>
        </w:tc>
        <w:tc>
          <w:tcPr>
            <w:tcW w:w="2660" w:type="dxa"/>
            <w:vAlign w:val="bottom"/>
            <w:tcBorders>
              <w:bottom w:val="single" w:sz="8" w:color="0000EE"/>
            </w:tcBorders>
            <w:gridSpan w:val="2"/>
          </w:tcPr>
          <w:p>
            <w:pPr>
              <w:spacing w:after="0"/>
              <w:rPr>
                <w:rFonts w:ascii="Arial" w:cs="Arial" w:eastAsia="Arial" w:hAnsi="Arial"/>
                <w:sz w:val="18"/>
                <w:szCs w:val="18"/>
                <w:color w:val="0000EE"/>
                <w:w w:val="90"/>
              </w:rPr>
            </w:pPr>
            <w:hyperlink r:id="rId280">
              <w:r>
                <w:rPr>
                  <w:rFonts w:ascii="Arial" w:cs="Arial" w:eastAsia="Arial" w:hAnsi="Arial"/>
                  <w:sz w:val="18"/>
                  <w:szCs w:val="18"/>
                  <w:color w:val="0000EE"/>
                  <w:w w:val="90"/>
                </w:rPr>
                <w:t>List of subsidiaries of the Registrant.</w:t>
              </w:r>
            </w:hyperlink>
          </w:p>
        </w:tc>
        <w:tc>
          <w:tcPr>
            <w:tcW w:w="7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0000EE"/>
              </w:rPr>
              <w:t>Consent of KPMG LLP, independent registered public accounting firm.</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51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Consent of Cooley LLP (included in Exhibit 5.1).</w:t>
            </w:r>
          </w:p>
        </w:tc>
        <w:tc>
          <w:tcPr>
            <w:tcW w:w="47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EE"/>
              </w:rPr>
            </w:pPr>
            <w:hyperlink r:id="rId281">
              <w:r>
                <w:rPr>
                  <w:rFonts w:ascii="Arial" w:cs="Arial" w:eastAsia="Arial" w:hAnsi="Arial"/>
                  <w:sz w:val="18"/>
                  <w:szCs w:val="18"/>
                  <w:color w:val="0000EE"/>
                </w:rPr>
                <w:t>Power of Attorney (see page II-5 of the original filing of this registration statement).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200" w:right="340" w:firstLine="444"/>
        <w:spacing w:after="0" w:line="286" w:lineRule="auto"/>
        <w:tabs>
          <w:tab w:leader="none" w:pos="89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200" w:right="140" w:firstLine="444"/>
        <w:spacing w:after="0" w:line="264" w:lineRule="auto"/>
        <w:tabs>
          <w:tab w:leader="none" w:pos="8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No. 2 to the registration statement to be signed on its behalf by the undersigned, thereunto duly authorized, in the City of San Jose, State of California, on April 16, 2019.</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Eric S. Yuan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80"/>
          </w:cols>
          <w:pgMar w:left="240" w:top="460"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22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 S. Yuan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89"/>
              </w:rPr>
              <w:t>Eric S. Yuan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(Principal Executive Officer)</w:t>
            </w: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Kelly Steckelberg</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3"/>
              </w:rPr>
              <w:t>Kelly Steckelberg</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Roy Benhorin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 xml:space="preserve">Chief Accounting Officer </w:t>
            </w:r>
            <w:r>
              <w:rPr>
                <w:rFonts w:ascii="Arial" w:cs="Arial" w:eastAsia="Arial" w:hAnsi="Arial"/>
                <w:sz w:val="18"/>
                <w:szCs w:val="18"/>
                <w:i w:val="1"/>
                <w:iCs w:val="1"/>
                <w:color w:val="auto"/>
              </w:rPr>
              <w:t>(Principal Accounting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3"/>
              </w:rPr>
              <w:t>Roy Benhorin</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0"/>
              </w:rPr>
              <w:t>Jonathan Chadwick</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0"/>
              </w:rPr>
              <w:t>Carl M. Eschenbach</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84"/>
              </w:rPr>
              <w:t>Peter Gassner</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4"/>
              </w:rPr>
              <w:t>Kimberly L. Hammonds</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88"/>
              </w:rPr>
              <w:t>Dan Scheinman</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Santiago Subotovsky</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16,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0"/>
              </w:rPr>
              <w:t>Bart Swanson</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 S. Yuan</w:t>
            </w: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4440" w:type="dxa"/>
            <w:vAlign w:val="bottom"/>
          </w:tcPr>
          <w:p>
            <w:pPr>
              <w:jc w:val="center"/>
              <w:spacing w:after="0" w:line="195" w:lineRule="exact"/>
              <w:rPr>
                <w:sz w:val="20"/>
                <w:szCs w:val="20"/>
                <w:color w:val="auto"/>
              </w:rPr>
            </w:pPr>
            <w:r>
              <w:rPr>
                <w:rFonts w:ascii="Arial" w:cs="Arial" w:eastAsia="Arial" w:hAnsi="Arial"/>
                <w:sz w:val="18"/>
                <w:szCs w:val="18"/>
                <w:color w:val="auto"/>
                <w:w w:val="94"/>
              </w:rPr>
              <w:t>*By: Eric S. Yuan</w:t>
            </w: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0"/>
        </w:trPr>
        <w:tc>
          <w:tcPr>
            <w:tcW w:w="4440" w:type="dxa"/>
            <w:vAlign w:val="bottom"/>
          </w:tcPr>
          <w:p>
            <w:pPr>
              <w:jc w:val="center"/>
              <w:spacing w:after="0"/>
              <w:rPr>
                <w:sz w:val="20"/>
                <w:szCs w:val="20"/>
                <w:color w:val="auto"/>
              </w:rPr>
            </w:pPr>
            <w:r>
              <w:rPr>
                <w:rFonts w:ascii="Arial" w:cs="Arial" w:eastAsia="Arial" w:hAnsi="Arial"/>
                <w:sz w:val="18"/>
                <w:szCs w:val="18"/>
                <w:color w:val="auto"/>
                <w:w w:val="95"/>
              </w:rPr>
              <w:t>Attorney-in-Fact</w:t>
            </w: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2"/>
          </w:tcPr>
          <w:p>
            <w:pPr>
              <w:ind w:left="800"/>
              <w:spacing w:after="0"/>
              <w:rPr>
                <w:sz w:val="20"/>
                <w:szCs w:val="20"/>
                <w:color w:val="auto"/>
              </w:rPr>
            </w:pPr>
            <w:r>
              <w:rPr>
                <w:rFonts w:ascii="Arial" w:cs="Arial" w:eastAsia="Arial" w:hAnsi="Arial"/>
                <w:sz w:val="18"/>
                <w:szCs w:val="18"/>
                <w:color w:val="auto"/>
              </w:rPr>
              <w:t>II-5</w:t>
            </w:r>
          </w:p>
        </w:tc>
        <w:tc>
          <w:tcPr>
            <w:tcW w:w="20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THIRD AMENDED AND RESTATED INVESTORS’ RIGHTS AGREEMENT</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December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56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377"/>
        </w:trPr>
        <w:tc>
          <w:tcPr>
            <w:tcW w:w="8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SECTION 1 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756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440" w:type="dxa"/>
            <w:vAlign w:val="bottom"/>
            <w:gridSpan w:val="2"/>
          </w:tcPr>
          <w:p>
            <w:pPr>
              <w:spacing w:after="0"/>
              <w:rPr>
                <w:sz w:val="20"/>
                <w:szCs w:val="20"/>
                <w:color w:val="auto"/>
              </w:rPr>
            </w:pPr>
            <w:r>
              <w:rPr>
                <w:rFonts w:ascii="Arial" w:cs="Arial" w:eastAsia="Arial" w:hAnsi="Arial"/>
                <w:sz w:val="18"/>
                <w:szCs w:val="18"/>
                <w:color w:val="auto"/>
              </w:rPr>
              <w:t>SECTION 2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7560" w:type="dxa"/>
            <w:vAlign w:val="bottom"/>
          </w:tcPr>
          <w:p>
            <w:pPr>
              <w:ind w:left="200"/>
              <w:spacing w:after="0"/>
              <w:rPr>
                <w:sz w:val="20"/>
                <w:szCs w:val="20"/>
                <w:color w:val="auto"/>
              </w:rPr>
            </w:pPr>
            <w:r>
              <w:rPr>
                <w:rFonts w:ascii="Arial" w:cs="Arial" w:eastAsia="Arial" w:hAnsi="Arial"/>
                <w:sz w:val="18"/>
                <w:szCs w:val="18"/>
                <w:color w:val="auto"/>
              </w:rPr>
              <w:t>Requested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7560" w:type="dxa"/>
            <w:vAlign w:val="bottom"/>
          </w:tcPr>
          <w:p>
            <w:pPr>
              <w:ind w:left="200"/>
              <w:spacing w:after="0"/>
              <w:rPr>
                <w:sz w:val="20"/>
                <w:szCs w:val="20"/>
                <w:color w:val="auto"/>
              </w:rPr>
            </w:pPr>
            <w:r>
              <w:rPr>
                <w:rFonts w:ascii="Arial" w:cs="Arial" w:eastAsia="Arial" w:hAnsi="Arial"/>
                <w:sz w:val="18"/>
                <w:szCs w:val="18"/>
                <w:color w:val="auto"/>
              </w:rPr>
              <w:t>Company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7560" w:type="dxa"/>
            <w:vAlign w:val="bottom"/>
          </w:tcPr>
          <w:p>
            <w:pPr>
              <w:ind w:left="200"/>
              <w:spacing w:after="0"/>
              <w:rPr>
                <w:sz w:val="20"/>
                <w:szCs w:val="20"/>
                <w:color w:val="auto"/>
              </w:rPr>
            </w:pPr>
            <w:r>
              <w:rPr>
                <w:rFonts w:ascii="Arial" w:cs="Arial" w:eastAsia="Arial" w:hAnsi="Arial"/>
                <w:sz w:val="18"/>
                <w:szCs w:val="18"/>
                <w:color w:val="auto"/>
              </w:rPr>
              <w:t>Registration on Form S-3</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7560" w:type="dxa"/>
            <w:vAlign w:val="bottom"/>
          </w:tcPr>
          <w:p>
            <w:pPr>
              <w:ind w:left="200"/>
              <w:spacing w:after="0"/>
              <w:rPr>
                <w:sz w:val="20"/>
                <w:szCs w:val="20"/>
                <w:color w:val="auto"/>
              </w:rPr>
            </w:pPr>
            <w:r>
              <w:rPr>
                <w:rFonts w:ascii="Arial" w:cs="Arial" w:eastAsia="Arial" w:hAnsi="Arial"/>
                <w:sz w:val="18"/>
                <w:szCs w:val="18"/>
                <w:color w:val="auto"/>
              </w:rPr>
              <w:t>Expenses of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7560" w:type="dxa"/>
            <w:vAlign w:val="bottom"/>
          </w:tcPr>
          <w:p>
            <w:pPr>
              <w:ind w:left="200"/>
              <w:spacing w:after="0"/>
              <w:rPr>
                <w:sz w:val="20"/>
                <w:szCs w:val="20"/>
                <w:color w:val="auto"/>
              </w:rPr>
            </w:pPr>
            <w:r>
              <w:rPr>
                <w:rFonts w:ascii="Arial" w:cs="Arial" w:eastAsia="Arial" w:hAnsi="Arial"/>
                <w:sz w:val="18"/>
                <w:szCs w:val="18"/>
                <w:color w:val="auto"/>
              </w:rPr>
              <w:t>Registration Procedures</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756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7560" w:type="dxa"/>
            <w:vAlign w:val="bottom"/>
          </w:tcPr>
          <w:p>
            <w:pPr>
              <w:ind w:left="200"/>
              <w:spacing w:after="0"/>
              <w:rPr>
                <w:sz w:val="20"/>
                <w:szCs w:val="20"/>
                <w:color w:val="auto"/>
              </w:rPr>
            </w:pPr>
            <w:r>
              <w:rPr>
                <w:rFonts w:ascii="Arial" w:cs="Arial" w:eastAsia="Arial" w:hAnsi="Arial"/>
                <w:sz w:val="18"/>
                <w:szCs w:val="18"/>
                <w:color w:val="auto"/>
              </w:rPr>
              <w:t>Information by Holder</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7560" w:type="dxa"/>
            <w:vAlign w:val="bottom"/>
          </w:tcPr>
          <w:p>
            <w:pPr>
              <w:ind w:left="200"/>
              <w:spacing w:after="0"/>
              <w:rPr>
                <w:sz w:val="20"/>
                <w:szCs w:val="20"/>
                <w:color w:val="auto"/>
              </w:rPr>
            </w:pPr>
            <w:r>
              <w:rPr>
                <w:rFonts w:ascii="Arial" w:cs="Arial" w:eastAsia="Arial" w:hAnsi="Arial"/>
                <w:sz w:val="18"/>
                <w:szCs w:val="18"/>
                <w:color w:val="auto"/>
              </w:rPr>
              <w:t>Restrictions on Transfer</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7560" w:type="dxa"/>
            <w:vAlign w:val="bottom"/>
          </w:tcPr>
          <w:p>
            <w:pPr>
              <w:ind w:left="200"/>
              <w:spacing w:after="0"/>
              <w:rPr>
                <w:sz w:val="20"/>
                <w:szCs w:val="20"/>
                <w:color w:val="auto"/>
              </w:rPr>
            </w:pPr>
            <w:r>
              <w:rPr>
                <w:rFonts w:ascii="Arial" w:cs="Arial" w:eastAsia="Arial" w:hAnsi="Arial"/>
                <w:sz w:val="18"/>
                <w:szCs w:val="18"/>
                <w:color w:val="auto"/>
              </w:rPr>
              <w:t>Rule 144 Reporting</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7560" w:type="dxa"/>
            <w:vAlign w:val="bottom"/>
          </w:tcPr>
          <w:p>
            <w:pPr>
              <w:ind w:left="200"/>
              <w:spacing w:after="0"/>
              <w:rPr>
                <w:sz w:val="20"/>
                <w:szCs w:val="20"/>
                <w:color w:val="auto"/>
              </w:rPr>
            </w:pPr>
            <w:r>
              <w:rPr>
                <w:rFonts w:ascii="Arial" w:cs="Arial" w:eastAsia="Arial" w:hAnsi="Arial"/>
                <w:sz w:val="18"/>
                <w:szCs w:val="18"/>
                <w:color w:val="auto"/>
              </w:rPr>
              <w:t>Market Stand-Off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7560" w:type="dxa"/>
            <w:vAlign w:val="bottom"/>
          </w:tcPr>
          <w:p>
            <w:pPr>
              <w:ind w:left="200"/>
              <w:spacing w:after="0"/>
              <w:rPr>
                <w:sz w:val="20"/>
                <w:szCs w:val="20"/>
                <w:color w:val="auto"/>
              </w:rPr>
            </w:pPr>
            <w:r>
              <w:rPr>
                <w:rFonts w:ascii="Arial" w:cs="Arial" w:eastAsia="Arial" w:hAnsi="Arial"/>
                <w:sz w:val="18"/>
                <w:szCs w:val="18"/>
                <w:color w:val="auto"/>
              </w:rPr>
              <w:t>Delay of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7560" w:type="dxa"/>
            <w:vAlign w:val="bottom"/>
          </w:tcPr>
          <w:p>
            <w:pPr>
              <w:ind w:left="200"/>
              <w:spacing w:after="0"/>
              <w:rPr>
                <w:sz w:val="20"/>
                <w:szCs w:val="20"/>
                <w:color w:val="auto"/>
              </w:rPr>
            </w:pPr>
            <w:r>
              <w:rPr>
                <w:rFonts w:ascii="Arial" w:cs="Arial" w:eastAsia="Arial" w:hAnsi="Arial"/>
                <w:sz w:val="18"/>
                <w:szCs w:val="18"/>
                <w:color w:val="auto"/>
              </w:rPr>
              <w:t>Transfer or Assignment of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2.13</w:t>
            </w:r>
          </w:p>
        </w:tc>
        <w:tc>
          <w:tcPr>
            <w:tcW w:w="7560" w:type="dxa"/>
            <w:vAlign w:val="bottom"/>
          </w:tcPr>
          <w:p>
            <w:pPr>
              <w:ind w:left="200"/>
              <w:spacing w:after="0"/>
              <w:rPr>
                <w:sz w:val="20"/>
                <w:szCs w:val="20"/>
                <w:color w:val="auto"/>
              </w:rPr>
            </w:pPr>
            <w:r>
              <w:rPr>
                <w:rFonts w:ascii="Arial" w:cs="Arial" w:eastAsia="Arial" w:hAnsi="Arial"/>
                <w:sz w:val="18"/>
                <w:szCs w:val="18"/>
                <w:color w:val="auto"/>
              </w:rPr>
              <w:t>Limitations on Subsequent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2.14</w:t>
            </w:r>
          </w:p>
        </w:tc>
        <w:tc>
          <w:tcPr>
            <w:tcW w:w="7560" w:type="dxa"/>
            <w:vAlign w:val="bottom"/>
          </w:tcPr>
          <w:p>
            <w:pPr>
              <w:ind w:left="200"/>
              <w:spacing w:after="0"/>
              <w:rPr>
                <w:sz w:val="20"/>
                <w:szCs w:val="20"/>
                <w:color w:val="auto"/>
              </w:rPr>
            </w:pPr>
            <w:r>
              <w:rPr>
                <w:rFonts w:ascii="Arial" w:cs="Arial" w:eastAsia="Arial" w:hAnsi="Arial"/>
                <w:sz w:val="18"/>
                <w:szCs w:val="18"/>
                <w:color w:val="auto"/>
              </w:rPr>
              <w:t>Termination of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8440" w:type="dxa"/>
            <w:vAlign w:val="bottom"/>
            <w:gridSpan w:val="2"/>
          </w:tcPr>
          <w:p>
            <w:pPr>
              <w:spacing w:after="0"/>
              <w:rPr>
                <w:sz w:val="20"/>
                <w:szCs w:val="20"/>
                <w:color w:val="auto"/>
              </w:rPr>
            </w:pPr>
            <w:r>
              <w:rPr>
                <w:rFonts w:ascii="Arial" w:cs="Arial" w:eastAsia="Arial" w:hAnsi="Arial"/>
                <w:sz w:val="18"/>
                <w:szCs w:val="18"/>
                <w:color w:val="auto"/>
              </w:rPr>
              <w:t>SECTION 3 INFORMATION AND OTHER COVENANTS OF THE COMPANY</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7560" w:type="dxa"/>
            <w:vAlign w:val="bottom"/>
          </w:tcPr>
          <w:p>
            <w:pPr>
              <w:ind w:left="200"/>
              <w:spacing w:after="0"/>
              <w:rPr>
                <w:sz w:val="20"/>
                <w:szCs w:val="20"/>
                <w:color w:val="auto"/>
              </w:rPr>
            </w:pPr>
            <w:r>
              <w:rPr>
                <w:rFonts w:ascii="Arial" w:cs="Arial" w:eastAsia="Arial" w:hAnsi="Arial"/>
                <w:sz w:val="18"/>
                <w:szCs w:val="18"/>
                <w:color w:val="auto"/>
              </w:rPr>
              <w:t>Delivery of Financial Information and Inspection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756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7560" w:type="dxa"/>
            <w:vAlign w:val="bottom"/>
          </w:tcPr>
          <w:p>
            <w:pPr>
              <w:ind w:left="200"/>
              <w:spacing w:after="0"/>
              <w:rPr>
                <w:sz w:val="20"/>
                <w:szCs w:val="20"/>
                <w:color w:val="auto"/>
              </w:rPr>
            </w:pPr>
            <w:r>
              <w:rPr>
                <w:rFonts w:ascii="Arial" w:cs="Arial" w:eastAsia="Arial" w:hAnsi="Arial"/>
                <w:sz w:val="18"/>
                <w:szCs w:val="18"/>
                <w:color w:val="auto"/>
              </w:rPr>
              <w:t>Directors’ and Officers’ 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7560" w:type="dxa"/>
            <w:vAlign w:val="bottom"/>
          </w:tcPr>
          <w:p>
            <w:pPr>
              <w:ind w:left="200"/>
              <w:spacing w:after="0"/>
              <w:rPr>
                <w:sz w:val="20"/>
                <w:szCs w:val="20"/>
                <w:color w:val="auto"/>
              </w:rPr>
            </w:pPr>
            <w:r>
              <w:rPr>
                <w:rFonts w:ascii="Arial" w:cs="Arial" w:eastAsia="Arial" w:hAnsi="Arial"/>
                <w:sz w:val="18"/>
                <w:szCs w:val="18"/>
                <w:color w:val="auto"/>
              </w:rPr>
              <w:t>No Use of Hillhouse’s Name</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7560" w:type="dxa"/>
            <w:vAlign w:val="bottom"/>
          </w:tcPr>
          <w:p>
            <w:pPr>
              <w:ind w:left="200"/>
              <w:spacing w:after="0"/>
              <w:rPr>
                <w:sz w:val="20"/>
                <w:szCs w:val="20"/>
                <w:color w:val="auto"/>
              </w:rPr>
            </w:pPr>
            <w:r>
              <w:rPr>
                <w:rFonts w:ascii="Arial" w:cs="Arial" w:eastAsia="Arial" w:hAnsi="Arial"/>
                <w:sz w:val="18"/>
                <w:szCs w:val="18"/>
                <w:color w:val="auto"/>
              </w:rPr>
              <w:t>Termination of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440" w:type="dxa"/>
            <w:vAlign w:val="bottom"/>
            <w:gridSpan w:val="2"/>
          </w:tcPr>
          <w:p>
            <w:pPr>
              <w:spacing w:after="0"/>
              <w:rPr>
                <w:sz w:val="20"/>
                <w:szCs w:val="20"/>
                <w:color w:val="auto"/>
              </w:rPr>
            </w:pPr>
            <w:r>
              <w:rPr>
                <w:rFonts w:ascii="Arial" w:cs="Arial" w:eastAsia="Arial" w:hAnsi="Arial"/>
                <w:sz w:val="18"/>
                <w:szCs w:val="18"/>
                <w:color w:val="auto"/>
              </w:rPr>
              <w:t>SECTION 4 RIGHT OF FIRST REFUSAL</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7560" w:type="dxa"/>
            <w:vAlign w:val="bottom"/>
          </w:tcPr>
          <w:p>
            <w:pPr>
              <w:ind w:left="200"/>
              <w:spacing w:after="0"/>
              <w:rPr>
                <w:sz w:val="20"/>
                <w:szCs w:val="20"/>
                <w:color w:val="auto"/>
              </w:rPr>
            </w:pPr>
            <w:r>
              <w:rPr>
                <w:rFonts w:ascii="Arial" w:cs="Arial" w:eastAsia="Arial" w:hAnsi="Arial"/>
                <w:sz w:val="18"/>
                <w:szCs w:val="18"/>
                <w:color w:val="auto"/>
              </w:rPr>
              <w:t>Right of First Refusal to Major Holders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440" w:type="dxa"/>
            <w:vAlign w:val="bottom"/>
            <w:gridSpan w:val="2"/>
          </w:tcPr>
          <w:p>
            <w:pPr>
              <w:spacing w:after="0"/>
              <w:rPr>
                <w:sz w:val="20"/>
                <w:szCs w:val="20"/>
                <w:color w:val="auto"/>
              </w:rPr>
            </w:pPr>
            <w:r>
              <w:rPr>
                <w:rFonts w:ascii="Arial" w:cs="Arial" w:eastAsia="Arial" w:hAnsi="Arial"/>
                <w:sz w:val="18"/>
                <w:szCs w:val="18"/>
                <w:color w:val="auto"/>
              </w:rPr>
              <w:t>SECTION 5 MISCELLANEOUS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7560" w:type="dxa"/>
            <w:vAlign w:val="bottom"/>
          </w:tcPr>
          <w:p>
            <w:pPr>
              <w:ind w:left="200"/>
              <w:spacing w:after="0"/>
              <w:rPr>
                <w:sz w:val="20"/>
                <w:szCs w:val="20"/>
                <w:color w:val="auto"/>
              </w:rPr>
            </w:pPr>
            <w:r>
              <w:rPr>
                <w:rFonts w:ascii="Arial" w:cs="Arial" w:eastAsia="Arial" w:hAnsi="Arial"/>
                <w:sz w:val="18"/>
                <w:szCs w:val="18"/>
                <w:color w:val="auto"/>
              </w:rPr>
              <w:t>Amendment</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7560" w:type="dxa"/>
            <w:vAlign w:val="bottom"/>
          </w:tcPr>
          <w:p>
            <w:pPr>
              <w:ind w:left="200"/>
              <w:spacing w:after="0"/>
              <w:rPr>
                <w:sz w:val="20"/>
                <w:szCs w:val="20"/>
                <w:color w:val="auto"/>
              </w:rPr>
            </w:pPr>
            <w:r>
              <w:rPr>
                <w:rFonts w:ascii="Arial" w:cs="Arial" w:eastAsia="Arial" w:hAnsi="Arial"/>
                <w:sz w:val="18"/>
                <w:szCs w:val="18"/>
                <w:color w:val="auto"/>
              </w:rPr>
              <w:t>Notices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75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756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756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7560" w:type="dxa"/>
            <w:vAlign w:val="bottom"/>
          </w:tcPr>
          <w:p>
            <w:pPr>
              <w:ind w:left="200"/>
              <w:spacing w:after="0"/>
              <w:rPr>
                <w:sz w:val="20"/>
                <w:szCs w:val="20"/>
                <w:color w:val="auto"/>
              </w:rPr>
            </w:pPr>
            <w:r>
              <w:rPr>
                <w:rFonts w:ascii="Arial" w:cs="Arial" w:eastAsia="Arial" w:hAnsi="Arial"/>
                <w:sz w:val="18"/>
                <w:szCs w:val="18"/>
                <w:color w:val="auto"/>
              </w:rPr>
              <w:t>Delays or Omissions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756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5.8</w:t>
            </w:r>
          </w:p>
        </w:tc>
        <w:tc>
          <w:tcPr>
            <w:tcW w:w="7560" w:type="dxa"/>
            <w:vAlign w:val="bottom"/>
          </w:tcPr>
          <w:p>
            <w:pPr>
              <w:ind w:left="200"/>
              <w:spacing w:after="0"/>
              <w:rPr>
                <w:sz w:val="20"/>
                <w:szCs w:val="20"/>
                <w:color w:val="auto"/>
              </w:rPr>
            </w:pPr>
            <w:r>
              <w:rPr>
                <w:rFonts w:ascii="Arial" w:cs="Arial" w:eastAsia="Arial" w:hAnsi="Arial"/>
                <w:sz w:val="18"/>
                <w:szCs w:val="18"/>
                <w:color w:val="auto"/>
              </w:rPr>
              <w:t>Titles and Subtitles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5.9</w:t>
            </w:r>
          </w:p>
        </w:tc>
        <w:tc>
          <w:tcPr>
            <w:tcW w:w="756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5.10</w:t>
            </w:r>
          </w:p>
        </w:tc>
        <w:tc>
          <w:tcPr>
            <w:tcW w:w="7560" w:type="dxa"/>
            <w:vAlign w:val="bottom"/>
          </w:tcPr>
          <w:p>
            <w:pPr>
              <w:ind w:left="200"/>
              <w:spacing w:after="0"/>
              <w:rPr>
                <w:sz w:val="20"/>
                <w:szCs w:val="20"/>
                <w:color w:val="auto"/>
              </w:rPr>
            </w:pPr>
            <w:r>
              <w:rPr>
                <w:rFonts w:ascii="Arial" w:cs="Arial" w:eastAsia="Arial" w:hAnsi="Arial"/>
                <w:sz w:val="18"/>
                <w:szCs w:val="18"/>
                <w:color w:val="auto"/>
              </w:rPr>
              <w:t>Electronic Execution and Delivery</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5.11</w:t>
            </w:r>
          </w:p>
        </w:tc>
        <w:tc>
          <w:tcPr>
            <w:tcW w:w="7560" w:type="dxa"/>
            <w:vAlign w:val="bottom"/>
          </w:tcPr>
          <w:p>
            <w:pPr>
              <w:ind w:left="200"/>
              <w:spacing w:after="0"/>
              <w:rPr>
                <w:sz w:val="20"/>
                <w:szCs w:val="20"/>
                <w:color w:val="auto"/>
              </w:rPr>
            </w:pPr>
            <w:r>
              <w:rPr>
                <w:rFonts w:ascii="Arial" w:cs="Arial" w:eastAsia="Arial" w:hAnsi="Arial"/>
                <w:sz w:val="18"/>
                <w:szCs w:val="18"/>
                <w:color w:val="auto"/>
              </w:rPr>
              <w:t>Jurisdiction; Venue</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5.12</w:t>
            </w:r>
          </w:p>
        </w:tc>
        <w:tc>
          <w:tcPr>
            <w:tcW w:w="756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5.13</w:t>
            </w:r>
          </w:p>
        </w:tc>
        <w:tc>
          <w:tcPr>
            <w:tcW w:w="7560" w:type="dxa"/>
            <w:vAlign w:val="bottom"/>
          </w:tcPr>
          <w:p>
            <w:pPr>
              <w:ind w:left="200"/>
              <w:spacing w:after="0"/>
              <w:rPr>
                <w:sz w:val="20"/>
                <w:szCs w:val="20"/>
                <w:color w:val="auto"/>
              </w:rPr>
            </w:pPr>
            <w:r>
              <w:rPr>
                <w:rFonts w:ascii="Arial" w:cs="Arial" w:eastAsia="Arial" w:hAnsi="Arial"/>
                <w:sz w:val="18"/>
                <w:szCs w:val="18"/>
                <w:color w:val="auto"/>
              </w:rPr>
              <w:t>Termination Upon Change of Control</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5.14</w:t>
            </w:r>
          </w:p>
        </w:tc>
        <w:tc>
          <w:tcPr>
            <w:tcW w:w="7560" w:type="dxa"/>
            <w:vAlign w:val="bottom"/>
          </w:tcPr>
          <w:p>
            <w:pPr>
              <w:ind w:left="200"/>
              <w:spacing w:after="0"/>
              <w:rPr>
                <w:sz w:val="20"/>
                <w:szCs w:val="20"/>
                <w:color w:val="auto"/>
              </w:rPr>
            </w:pPr>
            <w:r>
              <w:rPr>
                <w:rFonts w:ascii="Arial" w:cs="Arial" w:eastAsia="Arial" w:hAnsi="Arial"/>
                <w:sz w:val="18"/>
                <w:szCs w:val="18"/>
                <w:color w:val="auto"/>
              </w:rPr>
              <w:t>Conflict</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5.15</w:t>
            </w:r>
          </w:p>
        </w:tc>
        <w:tc>
          <w:tcPr>
            <w:tcW w:w="7560" w:type="dxa"/>
            <w:vAlign w:val="bottom"/>
          </w:tcPr>
          <w:p>
            <w:pPr>
              <w:ind w:left="200"/>
              <w:spacing w:after="0"/>
              <w:rPr>
                <w:sz w:val="20"/>
                <w:szCs w:val="20"/>
                <w:color w:val="auto"/>
              </w:rPr>
            </w:pPr>
            <w:r>
              <w:rPr>
                <w:rFonts w:ascii="Arial" w:cs="Arial" w:eastAsia="Arial" w:hAnsi="Arial"/>
                <w:sz w:val="18"/>
                <w:szCs w:val="18"/>
                <w:color w:val="auto"/>
              </w:rPr>
              <w:t>Attorneys’ Fees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5.16</w:t>
            </w:r>
          </w:p>
        </w:tc>
        <w:tc>
          <w:tcPr>
            <w:tcW w:w="7560" w:type="dxa"/>
            <w:vAlign w:val="bottom"/>
          </w:tcPr>
          <w:p>
            <w:pPr>
              <w:ind w:left="200"/>
              <w:spacing w:after="0"/>
              <w:rPr>
                <w:sz w:val="20"/>
                <w:szCs w:val="20"/>
                <w:color w:val="auto"/>
              </w:rPr>
            </w:pPr>
            <w:r>
              <w:rPr>
                <w:rFonts w:ascii="Arial" w:cs="Arial" w:eastAsia="Arial" w:hAnsi="Arial"/>
                <w:sz w:val="18"/>
                <w:szCs w:val="18"/>
                <w:color w:val="auto"/>
              </w:rPr>
              <w:t>Aggregation of Stock</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5.17</w:t>
            </w:r>
          </w:p>
        </w:tc>
        <w:tc>
          <w:tcPr>
            <w:tcW w:w="7560" w:type="dxa"/>
            <w:vAlign w:val="bottom"/>
          </w:tcPr>
          <w:p>
            <w:pPr>
              <w:ind w:left="200"/>
              <w:spacing w:after="0"/>
              <w:rPr>
                <w:sz w:val="20"/>
                <w:szCs w:val="20"/>
                <w:color w:val="auto"/>
              </w:rPr>
            </w:pPr>
            <w:r>
              <w:rPr>
                <w:rFonts w:ascii="Arial" w:cs="Arial" w:eastAsia="Arial" w:hAnsi="Arial"/>
                <w:sz w:val="18"/>
                <w:szCs w:val="18"/>
                <w:color w:val="auto"/>
              </w:rPr>
              <w:t>Jury Trial</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ZOOM VIDEO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AMENDED AND RESTATED INVESTORS’ RIGHTS AGREEMENT</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Third Amended and Restated Investors’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dated as of December 1, 2016 by and among Zoom Video Communications,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persons and entities listed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attached hereto (each, a “ </w:t>
      </w:r>
      <w:r>
        <w:rPr>
          <w:rFonts w:ascii="Arial" w:cs="Arial" w:eastAsia="Arial" w:hAnsi="Arial"/>
          <w:sz w:val="18"/>
          <w:szCs w:val="18"/>
          <w:b w:val="1"/>
          <w:bCs w:val="1"/>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 xml:space="preserve"> Series A Investors</w:t>
      </w:r>
      <w:r>
        <w:rPr>
          <w:rFonts w:ascii="Arial" w:cs="Arial" w:eastAsia="Arial" w:hAnsi="Arial"/>
          <w:sz w:val="18"/>
          <w:szCs w:val="18"/>
          <w:color w:val="auto"/>
        </w:rPr>
        <w:t>”), the persons and entities listed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attached hereto (each, a “</w:t>
      </w:r>
      <w:r>
        <w:rPr>
          <w:rFonts w:ascii="Arial" w:cs="Arial" w:eastAsia="Arial" w:hAnsi="Arial"/>
          <w:sz w:val="18"/>
          <w:szCs w:val="18"/>
          <w:b w:val="1"/>
          <w:bCs w:val="1"/>
          <w:i w:val="1"/>
          <w:iCs w:val="1"/>
          <w:color w:val="auto"/>
        </w:rPr>
        <w:t xml:space="preserve"> Series B Investor</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collectively, the “ </w:t>
      </w:r>
      <w:r>
        <w:rPr>
          <w:rFonts w:ascii="Arial" w:cs="Arial" w:eastAsia="Arial" w:hAnsi="Arial"/>
          <w:sz w:val="18"/>
          <w:szCs w:val="18"/>
          <w:b w:val="1"/>
          <w:bCs w:val="1"/>
          <w:i w:val="1"/>
          <w:iCs w:val="1"/>
          <w:color w:val="auto"/>
        </w:rPr>
        <w:t>Series B Investors</w:t>
      </w:r>
      <w:r>
        <w:rPr>
          <w:rFonts w:ascii="Arial" w:cs="Arial" w:eastAsia="Arial" w:hAnsi="Arial"/>
          <w:sz w:val="18"/>
          <w:szCs w:val="18"/>
          <w:color w:val="auto"/>
        </w:rPr>
        <w:t xml:space="preserve">”), the persons and entities listed on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attached hereto (each, a “ </w:t>
      </w:r>
      <w:r>
        <w:rPr>
          <w:rFonts w:ascii="Arial" w:cs="Arial" w:eastAsia="Arial" w:hAnsi="Arial"/>
          <w:sz w:val="18"/>
          <w:szCs w:val="18"/>
          <w:b w:val="1"/>
          <w:bCs w:val="1"/>
          <w:i w:val="1"/>
          <w:iCs w:val="1"/>
          <w:color w:val="auto"/>
        </w:rPr>
        <w:t>Series C Investor</w:t>
      </w:r>
      <w:r>
        <w:rPr>
          <w:rFonts w:ascii="Arial" w:cs="Arial" w:eastAsia="Arial" w:hAnsi="Arial"/>
          <w:sz w:val="18"/>
          <w:szCs w:val="18"/>
          <w:color w:val="auto"/>
        </w:rPr>
        <w:t xml:space="preserve">” and collectively, the “ </w:t>
      </w:r>
      <w:r>
        <w:rPr>
          <w:rFonts w:ascii="Arial" w:cs="Arial" w:eastAsia="Arial" w:hAnsi="Arial"/>
          <w:sz w:val="18"/>
          <w:szCs w:val="18"/>
          <w:b w:val="1"/>
          <w:bCs w:val="1"/>
          <w:i w:val="1"/>
          <w:iCs w:val="1"/>
          <w:color w:val="auto"/>
        </w:rPr>
        <w:t>Series C Investors</w:t>
      </w:r>
      <w:r>
        <w:rPr>
          <w:rFonts w:ascii="Arial" w:cs="Arial" w:eastAsia="Arial" w:hAnsi="Arial"/>
          <w:sz w:val="18"/>
          <w:szCs w:val="18"/>
          <w:color w:val="auto"/>
        </w:rPr>
        <w:t>”), and the persons and entities listed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i w:val="1"/>
          <w:iCs w:val="1"/>
          <w:color w:val="auto"/>
        </w:rPr>
        <w:t>Series D Investor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Series D Investors</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with the Series A Investors, the Series B Investors, and the Series C Investors,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xml:space="preserve">”), and the individual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Founder</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680" w:firstLine="444"/>
        <w:spacing w:after="0" w:line="277" w:lineRule="auto"/>
        <w:tabs>
          <w:tab w:leader="none" w:pos="79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the Series A Investors, the Series B Investors, and the Series C Investors have previously entered into certain Second Amended and Restated Investors’ Rights Agreement dated as of December 23, 2014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444"/>
        <w:spacing w:after="0" w:line="308" w:lineRule="auto"/>
        <w:tabs>
          <w:tab w:leader="none" w:pos="78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Company is issuing shares of Series D Preferred Stock of the Company (the “</w:t>
      </w:r>
      <w:r>
        <w:rPr>
          <w:rFonts w:ascii="Arial" w:cs="Arial" w:eastAsia="Arial" w:hAnsi="Arial"/>
          <w:sz w:val="17"/>
          <w:szCs w:val="17"/>
          <w:b w:val="1"/>
          <w:bCs w:val="1"/>
          <w:i w:val="1"/>
          <w:iCs w:val="1"/>
          <w:color w:val="auto"/>
        </w:rPr>
        <w:t>Series D Preferred</w:t>
      </w:r>
      <w:r>
        <w:rPr>
          <w:rFonts w:ascii="Arial" w:cs="Arial" w:eastAsia="Arial" w:hAnsi="Arial"/>
          <w:sz w:val="17"/>
          <w:szCs w:val="17"/>
          <w:color w:val="auto"/>
        </w:rPr>
        <w:t>”) to the Series D Investors pursuant to that certain Series D Preferred Stock Purchase Agreement dated on or about the date hereof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540" w:firstLine="444"/>
        <w:spacing w:after="0" w:line="308" w:lineRule="auto"/>
        <w:tabs>
          <w:tab w:leader="none" w:pos="78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Pursuant to the Purchase Agreement, it is a condition to the Initial Closing (as defined therein) of the transactions contemplated by the Purchase Agreement that the parties amend and restate in its entirety the Prior Agreement and execute and deliver this Agreement.</w:t>
      </w:r>
    </w:p>
    <w:p>
      <w:pPr>
        <w:spacing w:after="0" w:line="146" w:lineRule="exact"/>
        <w:rPr>
          <w:rFonts w:ascii="Arial" w:cs="Arial" w:eastAsia="Arial" w:hAnsi="Arial"/>
          <w:sz w:val="17"/>
          <w:szCs w:val="17"/>
          <w:color w:val="auto"/>
        </w:rPr>
      </w:pPr>
    </w:p>
    <w:p>
      <w:pPr>
        <w:ind w:right="440" w:firstLine="444"/>
        <w:spacing w:after="0" w:line="342" w:lineRule="auto"/>
        <w:tabs>
          <w:tab w:leader="none" w:pos="79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Pursuant to Section 5.1 of the Prior Agreement, the Prior Agreement may be amended with the written consent of the Company and the Holders holding at least sixty-six and two-thirds percent (66-2/3%) of the Registrable Securities (each as defined in the Prior Agreement).</w:t>
      </w:r>
    </w:p>
    <w:p>
      <w:pPr>
        <w:spacing w:after="0" w:line="124"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NOW, THEREFORE, in consideration of the foregoing premises and certain other good and valuable consideration, the receipt and sufficiency of which are hereby acknowledged, the parties hereto agree that the Prior Agreement is amended and restated in its entirety to read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Certain Definitions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ind w:left="1260" w:hanging="375"/>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280" w:hanging="395"/>
        <w:spacing w:after="0"/>
        <w:tabs>
          <w:tab w:leader="none" w:pos="12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shall mean the Securities and Exchange Commission or any other federal agency at the time administering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color w:val="auto"/>
        </w:rPr>
      </w:pPr>
    </w:p>
    <w:p>
      <w:pPr>
        <w:ind w:left="1260" w:hanging="375"/>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ectPr>
          <w:pgSz w:w="11900" w:h="16838" w:orient="portrait"/>
          <w:cols w:equalWidth="0" w:num="1">
            <w:col w:w="11000"/>
          </w:cols>
          <w:pgMar w:left="440" w:top="270" w:right="459" w:bottom="1440" w:gutter="0" w:footer="0" w:header="0"/>
        </w:sectPr>
      </w:pPr>
    </w:p>
    <w:bookmarkStart w:id="202" w:name="page203"/>
    <w:bookmarkEnd w:id="202"/>
    <w:p>
      <w:pPr>
        <w:ind w:right="420" w:firstLine="885"/>
        <w:spacing w:after="0" w:line="277" w:lineRule="auto"/>
        <w:tabs>
          <w:tab w:leader="none" w:pos="12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Conversion Stock</w:t>
      </w:r>
      <w:r>
        <w:rPr>
          <w:rFonts w:ascii="Arial" w:cs="Arial" w:eastAsia="Arial" w:hAnsi="Arial"/>
          <w:sz w:val="18"/>
          <w:szCs w:val="18"/>
          <w:color w:val="auto"/>
        </w:rPr>
        <w:t>” shall mean shares of Common Stock issued upon conversion of shares of the Company’s Preferred Stock (as defined in the Restated Certificate).</w:t>
      </w:r>
    </w:p>
    <w:p>
      <w:pPr>
        <w:spacing w:after="0" w:line="170" w:lineRule="exact"/>
        <w:rPr>
          <w:rFonts w:ascii="Arial" w:cs="Arial" w:eastAsia="Arial" w:hAnsi="Arial"/>
          <w:sz w:val="18"/>
          <w:szCs w:val="18"/>
          <w:color w:val="auto"/>
        </w:rPr>
      </w:pPr>
    </w:p>
    <w:p>
      <w:pPr>
        <w:ind w:right="260" w:firstLine="885"/>
        <w:spacing w:after="0" w:line="277" w:lineRule="auto"/>
        <w:tabs>
          <w:tab w:leader="none" w:pos="126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 or any similar successor federal statute and the rules and regulations thereunder, all as the same shall be in effect from time to time.</w:t>
      </w:r>
    </w:p>
    <w:p>
      <w:pPr>
        <w:spacing w:after="0" w:line="170" w:lineRule="exact"/>
        <w:rPr>
          <w:rFonts w:ascii="Arial" w:cs="Arial" w:eastAsia="Arial" w:hAnsi="Arial"/>
          <w:sz w:val="18"/>
          <w:szCs w:val="18"/>
          <w:color w:val="auto"/>
        </w:rPr>
      </w:pPr>
    </w:p>
    <w:p>
      <w:pPr>
        <w:ind w:right="80" w:firstLine="885"/>
        <w:spacing w:after="0" w:line="277" w:lineRule="auto"/>
        <w:tabs>
          <w:tab w:leader="none" w:pos="124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Registrable Securities</w:t>
      </w:r>
      <w:r>
        <w:rPr>
          <w:rFonts w:ascii="Arial" w:cs="Arial" w:eastAsia="Arial" w:hAnsi="Arial"/>
          <w:sz w:val="18"/>
          <w:szCs w:val="18"/>
          <w:color w:val="auto"/>
        </w:rPr>
        <w:t>” means (i) the shares of Common Stock held by the Founder, and (ii) any Common Stock issued as a dividend or other distribution with respect to or in exchange for or in replacement of the shares referenced in (i) above.</w:t>
      </w:r>
    </w:p>
    <w:p>
      <w:pPr>
        <w:spacing w:after="0" w:line="170" w:lineRule="exact"/>
        <w:rPr>
          <w:rFonts w:ascii="Arial" w:cs="Arial" w:eastAsia="Arial" w:hAnsi="Arial"/>
          <w:sz w:val="18"/>
          <w:szCs w:val="18"/>
          <w:color w:val="auto"/>
        </w:rPr>
      </w:pPr>
    </w:p>
    <w:p>
      <w:pPr>
        <w:ind w:right="40" w:firstLine="885"/>
        <w:spacing w:after="0" w:line="259" w:lineRule="auto"/>
        <w:tabs>
          <w:tab w:leader="none" w:pos="12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shall mean any Investor who holds Registrable Securities, the Founder to the extent he holds Founder Registrable Securities, and any holder of Registrable Securities to whom the registration rights conferred by this Agreement have been duly and validly transferred in accordance with Section 2.12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Founder shall not be deemed a Holder for purposes of Sections 2.1, 2.3, 2.8, 2.13, 3, 4 or 5.1.</w:t>
      </w:r>
    </w:p>
    <w:p>
      <w:pPr>
        <w:spacing w:after="0" w:line="186" w:lineRule="exact"/>
        <w:rPr>
          <w:rFonts w:ascii="Arial" w:cs="Arial" w:eastAsia="Arial" w:hAnsi="Arial"/>
          <w:sz w:val="18"/>
          <w:szCs w:val="18"/>
          <w:color w:val="auto"/>
        </w:rPr>
      </w:pPr>
    </w:p>
    <w:p>
      <w:pPr>
        <w:ind w:left="1280" w:hanging="395"/>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shall have the meaning set forth in Section 2.6(c).</w:t>
      </w:r>
    </w:p>
    <w:p>
      <w:pPr>
        <w:spacing w:after="0" w:line="225" w:lineRule="exact"/>
        <w:rPr>
          <w:rFonts w:ascii="Arial" w:cs="Arial" w:eastAsia="Arial" w:hAnsi="Arial"/>
          <w:sz w:val="18"/>
          <w:szCs w:val="18"/>
          <w:color w:val="auto"/>
        </w:rPr>
      </w:pPr>
    </w:p>
    <w:p>
      <w:pPr>
        <w:ind w:left="1240" w:hanging="355"/>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shall have the meaning set forth in Section 2.6(c).</w:t>
      </w:r>
    </w:p>
    <w:p>
      <w:pPr>
        <w:spacing w:after="0" w:line="225" w:lineRule="exact"/>
        <w:rPr>
          <w:rFonts w:ascii="Arial" w:cs="Arial" w:eastAsia="Arial" w:hAnsi="Arial"/>
          <w:sz w:val="18"/>
          <w:szCs w:val="18"/>
          <w:color w:val="auto"/>
        </w:rPr>
      </w:pPr>
    </w:p>
    <w:p>
      <w:pPr>
        <w:ind w:right="140" w:firstLine="885"/>
        <w:spacing w:after="0" w:line="312" w:lineRule="auto"/>
        <w:tabs>
          <w:tab w:leader="none" w:pos="123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shall mean the Company’s first firm commitment underwritten public offering pursuant to an effective registration statement under the Securities Act (or similar securities laws, to the extent applicable, in connection with an offering of securities on the New York Stock Exchange, NASDAQ Global Market, or other nationally or internationally-recognized securities exchange as approved by the Board).</w:t>
      </w:r>
    </w:p>
    <w:p>
      <w:pPr>
        <w:spacing w:after="0" w:line="146" w:lineRule="exact"/>
        <w:rPr>
          <w:rFonts w:ascii="Arial" w:cs="Arial" w:eastAsia="Arial" w:hAnsi="Arial"/>
          <w:sz w:val="16"/>
          <w:szCs w:val="16"/>
          <w:color w:val="auto"/>
        </w:rPr>
      </w:pPr>
    </w:p>
    <w:p>
      <w:pPr>
        <w:ind w:right="160" w:firstLine="885"/>
        <w:spacing w:after="0" w:line="277" w:lineRule="auto"/>
        <w:tabs>
          <w:tab w:leader="none" w:pos="12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shall mean any Holder or Holders who in the aggregate hold not less than fifty percent (50%) of the Registrable Securities then outstanding.</w:t>
      </w:r>
    </w:p>
    <w:p>
      <w:pPr>
        <w:spacing w:after="0" w:line="170" w:lineRule="exact"/>
        <w:rPr>
          <w:rFonts w:ascii="Arial" w:cs="Arial" w:eastAsia="Arial" w:hAnsi="Arial"/>
          <w:sz w:val="18"/>
          <w:szCs w:val="18"/>
          <w:color w:val="auto"/>
        </w:rPr>
      </w:pPr>
    </w:p>
    <w:p>
      <w:pPr>
        <w:ind w:firstLine="885"/>
        <w:spacing w:after="0" w:line="255" w:lineRule="auto"/>
        <w:tabs>
          <w:tab w:leader="none" w:pos="123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Holder</w:t>
      </w:r>
      <w:r>
        <w:rPr>
          <w:rFonts w:ascii="Arial" w:cs="Arial" w:eastAsia="Arial" w:hAnsi="Arial"/>
          <w:sz w:val="18"/>
          <w:szCs w:val="18"/>
          <w:color w:val="auto"/>
        </w:rPr>
        <w:t>” shall mean (i) Emergence Capital Partners III, L.P. (“</w:t>
      </w:r>
      <w:r>
        <w:rPr>
          <w:rFonts w:ascii="Arial" w:cs="Arial" w:eastAsia="Arial" w:hAnsi="Arial"/>
          <w:sz w:val="18"/>
          <w:szCs w:val="18"/>
          <w:b w:val="1"/>
          <w:bCs w:val="1"/>
          <w:i w:val="1"/>
          <w:iCs w:val="1"/>
          <w:color w:val="auto"/>
        </w:rPr>
        <w:t>Emergence</w:t>
      </w:r>
      <w:r>
        <w:rPr>
          <w:rFonts w:ascii="Arial" w:cs="Arial" w:eastAsia="Arial" w:hAnsi="Arial"/>
          <w:sz w:val="18"/>
          <w:szCs w:val="18"/>
          <w:color w:val="auto"/>
        </w:rPr>
        <w:t>”) for so long as Emergence together with its affiliates hold at least 3,440,000 Registrable Securities, (ii) Sequoia Capital U.S. Growth Fund VII, L.P., Sequoia Capital U.S. Growth VII Principals Fund, L.P., Sequoia Capital Global Growth Fund II, L.P., and Sequoia Capital Global Growth II Principals Fund, L.P. (“</w:t>
      </w:r>
      <w:r>
        <w:rPr>
          <w:rFonts w:ascii="Arial" w:cs="Arial" w:eastAsia="Arial" w:hAnsi="Arial"/>
          <w:sz w:val="18"/>
          <w:szCs w:val="18"/>
          <w:b w:val="1"/>
          <w:bCs w:val="1"/>
          <w:i w:val="1"/>
          <w:iCs w:val="1"/>
          <w:color w:val="auto"/>
        </w:rPr>
        <w:t>Sequoia</w:t>
      </w:r>
      <w:r>
        <w:rPr>
          <w:rFonts w:ascii="Arial" w:cs="Arial" w:eastAsia="Arial" w:hAnsi="Arial"/>
          <w:sz w:val="18"/>
          <w:szCs w:val="18"/>
          <w:color w:val="auto"/>
        </w:rPr>
        <w:t>”) for so long as Sequoia together with its affiliates hold at least 2,675,564 Registrable Securities and (iii) any other Holder or Holders who in the aggregate hold Registrable Securities that represent at least one percent (1%) of the total number of outstanding shares of capital stock of the Company (calculated on an as-converted to Common Stock basis).</w:t>
      </w:r>
    </w:p>
    <w:p>
      <w:pPr>
        <w:spacing w:after="0" w:line="193" w:lineRule="exact"/>
        <w:rPr>
          <w:rFonts w:ascii="Arial" w:cs="Arial" w:eastAsia="Arial" w:hAnsi="Arial"/>
          <w:sz w:val="18"/>
          <w:szCs w:val="18"/>
          <w:color w:val="auto"/>
        </w:rPr>
      </w:pPr>
    </w:p>
    <w:p>
      <w:pPr>
        <w:ind w:left="1320" w:hanging="435"/>
        <w:spacing w:after="0"/>
        <w:tabs>
          <w:tab w:leader="none" w:pos="1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shall have the meaning set forth in Section 4.1(a).</w:t>
      </w:r>
    </w:p>
    <w:p>
      <w:pPr>
        <w:spacing w:after="0" w:line="225" w:lineRule="exact"/>
        <w:rPr>
          <w:rFonts w:ascii="Arial" w:cs="Arial" w:eastAsia="Arial" w:hAnsi="Arial"/>
          <w:sz w:val="18"/>
          <w:szCs w:val="18"/>
          <w:color w:val="auto"/>
        </w:rPr>
      </w:pPr>
    </w:p>
    <w:p>
      <w:pPr>
        <w:ind w:right="200" w:firstLine="885"/>
        <w:spacing w:after="0" w:line="277" w:lineRule="auto"/>
        <w:tabs>
          <w:tab w:leader="none" w:pos="12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Selling Stockholders</w:t>
      </w:r>
      <w:r>
        <w:rPr>
          <w:rFonts w:ascii="Arial" w:cs="Arial" w:eastAsia="Arial" w:hAnsi="Arial"/>
          <w:sz w:val="18"/>
          <w:szCs w:val="18"/>
          <w:color w:val="auto"/>
        </w:rPr>
        <w:t>” shall mean persons other than Holders who, by virtue of agreements with the Company, are entitled to include their Other Shares in certain registrations hereunder.</w:t>
      </w:r>
    </w:p>
    <w:p>
      <w:pPr>
        <w:spacing w:after="0" w:line="170" w:lineRule="exact"/>
        <w:rPr>
          <w:rFonts w:ascii="Arial" w:cs="Arial" w:eastAsia="Arial" w:hAnsi="Arial"/>
          <w:sz w:val="18"/>
          <w:szCs w:val="18"/>
          <w:color w:val="auto"/>
        </w:rPr>
      </w:pPr>
    </w:p>
    <w:p>
      <w:pPr>
        <w:ind w:right="460" w:firstLine="885"/>
        <w:spacing w:after="0" w:line="277" w:lineRule="auto"/>
        <w:tabs>
          <w:tab w:leader="none" w:pos="12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Shares</w:t>
      </w:r>
      <w:r>
        <w:rPr>
          <w:rFonts w:ascii="Arial" w:cs="Arial" w:eastAsia="Arial" w:hAnsi="Arial"/>
          <w:sz w:val="18"/>
          <w:szCs w:val="18"/>
          <w:color w:val="auto"/>
        </w:rPr>
        <w:t>” shall mean shares of Common Stock, other than Registrable Securities (as defined below), with respect to which registration rights have been granted.</w:t>
      </w:r>
    </w:p>
    <w:p>
      <w:pPr>
        <w:spacing w:after="0" w:line="170" w:lineRule="exact"/>
        <w:rPr>
          <w:rFonts w:ascii="Arial" w:cs="Arial" w:eastAsia="Arial" w:hAnsi="Arial"/>
          <w:sz w:val="18"/>
          <w:szCs w:val="18"/>
          <w:color w:val="auto"/>
        </w:rPr>
      </w:pPr>
    </w:p>
    <w:p>
      <w:pPr>
        <w:ind w:left="1280" w:hanging="395"/>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shall have the meaning set forth in the Recitals.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03" w:name="page204"/>
    <w:bookmarkEnd w:id="203"/>
    <w:p>
      <w:pPr>
        <w:ind w:right="120" w:firstLine="885"/>
        <w:spacing w:after="0" w:line="290" w:lineRule="auto"/>
        <w:tabs>
          <w:tab w:leader="none" w:pos="1271"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shall mean (i) shares of Common Stock issued or issuable pursuant to the conversion of the Shares, (ii) any Common Stock, or any Common Stock issued or issuable (directly or indirectly) upon conversion and/or exercise of any other securities of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acquired by the Major Holders after the date hereof, (iii) any Common Stock issued as a dividend or other distribution with respect to or in exchange for or in replacement of the shares referenced in (i) or (ii) above, and (iv) the Founder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Registrable Securities shall not include any shares of Common Stock described in clause (i), (ii), (iii) or (iv) above which have previously been registered or which have been sold to the public either pursuant to a registration statement or Rule 144, or which have been sold in a private transaction in which the transferor’s rights under this Agreement are not validly assigned in accordance with this Agreement,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Founder Registrable Securities shall not be deemed Registrable Securities for purposes of Sections 2.1, 2.3, 2.8, 2.13, 3, 4 or 5.1).</w:t>
      </w:r>
    </w:p>
    <w:p>
      <w:pPr>
        <w:spacing w:after="0" w:line="166" w:lineRule="exact"/>
        <w:rPr>
          <w:rFonts w:ascii="Arial" w:cs="Arial" w:eastAsia="Arial" w:hAnsi="Arial"/>
          <w:sz w:val="16"/>
          <w:szCs w:val="16"/>
          <w:color w:val="auto"/>
        </w:rPr>
      </w:pPr>
    </w:p>
    <w:p>
      <w:pPr>
        <w:ind w:right="140" w:firstLine="885"/>
        <w:spacing w:after="0" w:line="264" w:lineRule="auto"/>
        <w:tabs>
          <w:tab w:leader="none" w:pos="12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81" w:lineRule="exact"/>
        <w:rPr>
          <w:rFonts w:ascii="Arial" w:cs="Arial" w:eastAsia="Arial" w:hAnsi="Arial"/>
          <w:sz w:val="18"/>
          <w:szCs w:val="18"/>
          <w:color w:val="auto"/>
        </w:rPr>
      </w:pPr>
    </w:p>
    <w:p>
      <w:pPr>
        <w:ind w:right="200" w:firstLine="885"/>
        <w:spacing w:after="0" w:line="264" w:lineRule="auto"/>
        <w:tabs>
          <w:tab w:leader="none" w:pos="12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shall refer to a registration effected by preparing and filing a registration statement in compliance with the Securities Act and applicable rules and regulations thereunder, and the declaration or ordering of the effectiveness of such registration statement.</w:t>
      </w:r>
    </w:p>
    <w:p>
      <w:pPr>
        <w:spacing w:after="0" w:line="181" w:lineRule="exact"/>
        <w:rPr>
          <w:rFonts w:ascii="Arial" w:cs="Arial" w:eastAsia="Arial" w:hAnsi="Arial"/>
          <w:sz w:val="18"/>
          <w:szCs w:val="18"/>
          <w:color w:val="auto"/>
        </w:rPr>
      </w:pPr>
    </w:p>
    <w:p>
      <w:pPr>
        <w:ind w:right="80" w:firstLine="885"/>
        <w:spacing w:after="0" w:line="257" w:lineRule="auto"/>
        <w:tabs>
          <w:tab w:leader="none" w:pos="123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all expenses incurred in effecting any registration pursuant to this Agreement, including, without limitation, all registration, qualification, and filing fees, printing expenses, escrow fees, fees and disbursements of counsel for the Company and one special counsel for the Holders, blue sky fees and expenses, and expenses of any regular or special audits incident to or required by any such registration, but shall not include Selling Expenses, fees and disbursements of other counsel for the Holders and the compensation of regular employees of the Company, which shall be paid in any event by the Company.</w:t>
      </w:r>
    </w:p>
    <w:p>
      <w:pPr>
        <w:spacing w:after="0" w:line="188" w:lineRule="exact"/>
        <w:rPr>
          <w:rFonts w:ascii="Arial" w:cs="Arial" w:eastAsia="Arial" w:hAnsi="Arial"/>
          <w:sz w:val="18"/>
          <w:szCs w:val="18"/>
          <w:color w:val="auto"/>
        </w:rPr>
      </w:pPr>
    </w:p>
    <w:p>
      <w:pPr>
        <w:ind w:left="1280" w:hanging="395"/>
        <w:spacing w:after="0"/>
        <w:tabs>
          <w:tab w:leader="none" w:pos="12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shall mean the Fourth Amended and Restated Certificate of Incorporation of the Company, as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ind w:left="1280" w:hanging="395"/>
        <w:spacing w:after="0"/>
        <w:tabs>
          <w:tab w:leader="none" w:pos="12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shall mean any Registrable Securities required to bear the first legend set forth in Section 2.8(c).</w:t>
      </w:r>
    </w:p>
    <w:p>
      <w:pPr>
        <w:spacing w:after="0" w:line="225" w:lineRule="exact"/>
        <w:rPr>
          <w:rFonts w:ascii="Arial" w:cs="Arial" w:eastAsia="Arial" w:hAnsi="Arial"/>
          <w:sz w:val="18"/>
          <w:szCs w:val="18"/>
          <w:color w:val="auto"/>
        </w:rPr>
      </w:pPr>
    </w:p>
    <w:p>
      <w:pPr>
        <w:ind w:right="320" w:firstLine="885"/>
        <w:spacing w:after="0" w:line="277" w:lineRule="auto"/>
        <w:tabs>
          <w:tab w:leader="none" w:pos="13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shall mean Rule 144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firstLine="885"/>
        <w:spacing w:after="0" w:line="277" w:lineRule="auto"/>
        <w:tabs>
          <w:tab w:leader="none" w:pos="12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145</w:t>
      </w:r>
      <w:r>
        <w:rPr>
          <w:rFonts w:ascii="Arial" w:cs="Arial" w:eastAsia="Arial" w:hAnsi="Arial"/>
          <w:sz w:val="18"/>
          <w:szCs w:val="18"/>
          <w:color w:val="auto"/>
        </w:rPr>
        <w:t>” shall mean Rule 145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firstLine="885"/>
        <w:spacing w:after="0" w:line="277" w:lineRule="auto"/>
        <w:tabs>
          <w:tab w:leader="none" w:pos="12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415</w:t>
      </w:r>
      <w:r>
        <w:rPr>
          <w:rFonts w:ascii="Arial" w:cs="Arial" w:eastAsia="Arial" w:hAnsi="Arial"/>
          <w:sz w:val="18"/>
          <w:szCs w:val="18"/>
          <w:color w:val="auto"/>
        </w:rPr>
        <w:t>” shall mean Rule 415 as promulgated by the Commission under the Securities Act, as such Rule may be amended from time to time, or any similar successor rule that may be promulgated by the Commission.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04" w:name="page205"/>
    <w:bookmarkEnd w:id="204"/>
    <w:p>
      <w:pPr>
        <w:ind w:left="-20" w:right="740" w:firstLine="885"/>
        <w:spacing w:after="0" w:line="277" w:lineRule="auto"/>
        <w:tabs>
          <w:tab w:leader="none" w:pos="12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or any similar successor federal statute and the rules and regulations thereunder, all as the same shall be in effect from time to time.</w:t>
      </w:r>
    </w:p>
    <w:p>
      <w:pPr>
        <w:spacing w:after="0" w:line="170" w:lineRule="exact"/>
        <w:rPr>
          <w:sz w:val="20"/>
          <w:szCs w:val="20"/>
          <w:color w:val="auto"/>
        </w:rPr>
      </w:pPr>
    </w:p>
    <w:p>
      <w:pPr>
        <w:ind w:left="-20" w:right="20" w:firstLine="885"/>
        <w:spacing w:after="0" w:line="264" w:lineRule="auto"/>
        <w:tabs>
          <w:tab w:leader="none" w:pos="132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shall mean all underwriting discounts, selling commissions and stock transfer taxes applicable to the sale of Registrable Securities and fees and disbursements of counsel for any Holder (other than the fees and disbursements of one special counsel to the Holders included in Registration Expenses).</w:t>
      </w:r>
    </w:p>
    <w:p>
      <w:pPr>
        <w:spacing w:after="0" w:line="181" w:lineRule="exact"/>
        <w:rPr>
          <w:rFonts w:ascii="Arial" w:cs="Arial" w:eastAsia="Arial" w:hAnsi="Arial"/>
          <w:sz w:val="18"/>
          <w:szCs w:val="18"/>
          <w:color w:val="auto"/>
        </w:rPr>
      </w:pPr>
    </w:p>
    <w:p>
      <w:pPr>
        <w:ind w:left="-20" w:right="380" w:firstLine="885"/>
        <w:spacing w:after="0" w:line="277" w:lineRule="auto"/>
        <w:tabs>
          <w:tab w:leader="none" w:pos="134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shall mean the Company’s Series A Preferred Stock, the Company’s Series B Preferred Stock, the Company’s Series C Preferred Stock, and the Company’s Series D Preferred.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Requested Registration.</w:t>
      </w:r>
    </w:p>
    <w:p>
      <w:pPr>
        <w:spacing w:after="0" w:line="121" w:lineRule="exact"/>
        <w:rPr>
          <w:sz w:val="20"/>
          <w:szCs w:val="20"/>
          <w:color w:val="auto"/>
        </w:rPr>
      </w:pPr>
    </w:p>
    <w:p>
      <w:pPr>
        <w:jc w:val="both"/>
        <w:ind w:left="-20" w:right="80" w:firstLine="885"/>
        <w:spacing w:after="0" w:line="259" w:lineRule="auto"/>
        <w:tabs>
          <w:tab w:leader="none" w:pos="1241"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Request for Registration. </w:t>
      </w:r>
      <w:r>
        <w:rPr>
          <w:rFonts w:ascii="Arial" w:cs="Arial" w:eastAsia="Arial" w:hAnsi="Arial"/>
          <w:sz w:val="18"/>
          <w:szCs w:val="18"/>
          <w:color w:val="auto"/>
        </w:rPr>
        <w:t>Subject to the conditions set forth in this Section 2.1, if the Company shall receive from Initiating Holders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request signed by such Initiating Holders that the Company effect any registration with respect to all or a part of the Registrable Securities (such request shall state the number of shares of Registrable Securities to be disposed of and the intended methods of disposition of such shares by such Initiating Holders), the Company will:</w:t>
      </w:r>
    </w:p>
    <w:p>
      <w:pPr>
        <w:spacing w:after="0" w:line="186" w:lineRule="exact"/>
        <w:rPr>
          <w:rFonts w:ascii="Arial" w:cs="Arial" w:eastAsia="Arial" w:hAnsi="Arial"/>
          <w:sz w:val="18"/>
          <w:szCs w:val="18"/>
          <w:color w:val="auto"/>
        </w:rPr>
      </w:pPr>
    </w:p>
    <w:p>
      <w:pPr>
        <w:ind w:left="1760" w:hanging="344"/>
        <w:spacing w:after="0"/>
        <w:tabs>
          <w:tab w:leader="none" w:pos="17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to all other Holders; and</w:t>
      </w:r>
    </w:p>
    <w:p>
      <w:pPr>
        <w:spacing w:after="0" w:line="225" w:lineRule="exact"/>
        <w:rPr>
          <w:rFonts w:ascii="Arial" w:cs="Arial" w:eastAsia="Arial" w:hAnsi="Arial"/>
          <w:sz w:val="18"/>
          <w:szCs w:val="18"/>
          <w:color w:val="auto"/>
        </w:rPr>
      </w:pPr>
    </w:p>
    <w:p>
      <w:pPr>
        <w:ind w:left="-20" w:right="20" w:firstLine="1436"/>
        <w:spacing w:after="0" w:line="276" w:lineRule="auto"/>
        <w:tabs>
          <w:tab w:leader="none" w:pos="1813"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as soon as practicable, file and use its commercially reasonable efforts to effect such registration (including, without limitation, filing post-effective amendments, appropriate qualifications under applicable blue sky or other state securities laws, and appropriate compliance with the Securities Act) and to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twenty (20) days after such written notice from the Company is mailed or delivered.</w:t>
      </w:r>
    </w:p>
    <w:p>
      <w:pPr>
        <w:spacing w:after="0" w:line="172" w:lineRule="exact"/>
        <w:rPr>
          <w:rFonts w:ascii="Arial" w:cs="Arial" w:eastAsia="Arial" w:hAnsi="Arial"/>
          <w:sz w:val="17"/>
          <w:szCs w:val="17"/>
          <w:color w:val="auto"/>
        </w:rPr>
      </w:pPr>
    </w:p>
    <w:p>
      <w:pPr>
        <w:ind w:left="-20" w:right="640" w:firstLine="885"/>
        <w:spacing w:after="0" w:line="277" w:lineRule="auto"/>
        <w:tabs>
          <w:tab w:leader="none" w:pos="1251"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Limitations on Requested Registration. </w:t>
      </w:r>
      <w:r>
        <w:rPr>
          <w:rFonts w:ascii="Arial" w:cs="Arial" w:eastAsia="Arial" w:hAnsi="Arial"/>
          <w:sz w:val="18"/>
          <w:szCs w:val="18"/>
          <w:color w:val="auto"/>
        </w:rPr>
        <w:t>The Company shall not be obligated to effect, or to take any action to effect,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pursuant to this Section 2.1:</w:t>
      </w:r>
    </w:p>
    <w:p>
      <w:pPr>
        <w:spacing w:after="0" w:line="170" w:lineRule="exact"/>
        <w:rPr>
          <w:rFonts w:ascii="Arial" w:cs="Arial" w:eastAsia="Arial" w:hAnsi="Arial"/>
          <w:sz w:val="18"/>
          <w:szCs w:val="18"/>
          <w:color w:val="auto"/>
        </w:rPr>
      </w:pPr>
    </w:p>
    <w:p>
      <w:pPr>
        <w:jc w:val="both"/>
        <w:ind w:left="-20" w:right="480" w:firstLine="1436"/>
        <w:spacing w:after="0" w:line="286" w:lineRule="auto"/>
        <w:tabs>
          <w:tab w:leader="none" w:pos="1763" w:val="left"/>
        </w:tabs>
        <w:numPr>
          <w:ilvl w:val="1"/>
          <w:numId w:val="110"/>
        </w:numPr>
        <w:rPr>
          <w:rFonts w:ascii="Arial" w:cs="Arial" w:eastAsia="Arial" w:hAnsi="Arial"/>
          <w:sz w:val="17"/>
          <w:szCs w:val="17"/>
          <w:color w:val="auto"/>
        </w:rPr>
      </w:pPr>
      <w:r>
        <w:rPr>
          <w:rFonts w:ascii="Arial" w:cs="Arial" w:eastAsia="Arial" w:hAnsi="Arial"/>
          <w:sz w:val="17"/>
          <w:szCs w:val="17"/>
          <w:color w:val="auto"/>
        </w:rPr>
        <w:t>Prior to the earlier of (A) the five (5) year anniversary of the date of this Agreement or (B) one hundred eighty (180) days following the effective date of the first registration statement filed by the Company covering an underwritten offering of any of its securities to the public (or the subsequent date on which all market stand-off agreements applicable to the offering have terminated);</w:t>
      </w:r>
    </w:p>
    <w:p>
      <w:pPr>
        <w:spacing w:after="0" w:line="165" w:lineRule="exact"/>
        <w:rPr>
          <w:rFonts w:ascii="Arial" w:cs="Arial" w:eastAsia="Arial" w:hAnsi="Arial"/>
          <w:sz w:val="17"/>
          <w:szCs w:val="17"/>
          <w:color w:val="auto"/>
        </w:rPr>
      </w:pPr>
    </w:p>
    <w:p>
      <w:pPr>
        <w:ind w:left="-20" w:firstLine="1436"/>
        <w:spacing w:after="0" w:line="264" w:lineRule="auto"/>
        <w:tabs>
          <w:tab w:leader="none" w:pos="181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the Initiating Holders, together with the holders of any other securities of the Company entitled to inclusion in such registration statement, propose to sell Registrable Securities and such other securities (if any) at an aggregate offering price of less than $10,000,000 (net of underwriters’ discounts and expenses);</w:t>
      </w:r>
    </w:p>
    <w:p>
      <w:pPr>
        <w:spacing w:after="0" w:line="181" w:lineRule="exact"/>
        <w:rPr>
          <w:rFonts w:ascii="Arial" w:cs="Arial" w:eastAsia="Arial" w:hAnsi="Arial"/>
          <w:sz w:val="18"/>
          <w:szCs w:val="18"/>
          <w:color w:val="auto"/>
        </w:rPr>
      </w:pPr>
    </w:p>
    <w:p>
      <w:pPr>
        <w:ind w:left="-20" w:right="260" w:firstLine="1436"/>
        <w:spacing w:after="0" w:line="264" w:lineRule="auto"/>
        <w:tabs>
          <w:tab w:leader="none" w:pos="186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4" w:right="439" w:bottom="1440" w:gutter="0" w:footer="0" w:header="0"/>
        </w:sectPr>
      </w:pPr>
    </w:p>
    <w:bookmarkStart w:id="205" w:name="page206"/>
    <w:bookmarkEnd w:id="205"/>
    <w:p>
      <w:pPr>
        <w:jc w:val="both"/>
        <w:ind w:left="-40" w:right="100" w:firstLine="1436"/>
        <w:spacing w:after="0" w:line="312" w:lineRule="auto"/>
        <w:tabs>
          <w:tab w:leader="none" w:pos="1833" w:val="left"/>
        </w:tabs>
        <w:numPr>
          <w:ilvl w:val="1"/>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the Initiating Holders have requested a registration to be effected in a jurisdiction other than the United States, to the extent the Board determines in its sole discretion that such registration would impose materially more burdensome or costly obligations on the part of the Company as compared to those to which the Company would be subject if the request was for a registration to be effected in the United States;</w:t>
      </w:r>
    </w:p>
    <w:p>
      <w:pPr>
        <w:spacing w:after="0" w:line="146" w:lineRule="exact"/>
        <w:rPr>
          <w:rFonts w:ascii="Arial" w:cs="Arial" w:eastAsia="Arial" w:hAnsi="Arial"/>
          <w:sz w:val="16"/>
          <w:szCs w:val="16"/>
          <w:color w:val="auto"/>
        </w:rPr>
      </w:pPr>
    </w:p>
    <w:p>
      <w:pPr>
        <w:ind w:left="1780" w:hanging="384"/>
        <w:spacing w:after="0"/>
        <w:tabs>
          <w:tab w:leader="none" w:pos="17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After the Company has initiated two such registrations pursuant to this Section 2.1;</w:t>
      </w:r>
    </w:p>
    <w:p>
      <w:pPr>
        <w:spacing w:after="0" w:line="225" w:lineRule="exact"/>
        <w:rPr>
          <w:rFonts w:ascii="Arial" w:cs="Arial" w:eastAsia="Arial" w:hAnsi="Arial"/>
          <w:sz w:val="18"/>
          <w:szCs w:val="18"/>
          <w:color w:val="auto"/>
        </w:rPr>
      </w:pPr>
    </w:p>
    <w:p>
      <w:pPr>
        <w:jc w:val="both"/>
        <w:ind w:left="-40" w:right="60" w:firstLine="1436"/>
        <w:spacing w:after="0" w:line="259" w:lineRule="auto"/>
        <w:tabs>
          <w:tab w:leader="none" w:pos="183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During the period starting with the date sixty (60) days prior to the Company’s good faith estimate of the date of filing of, and ending on a date one hundred eighty (180) days after the effective date of, a Company-initiated registration (or ending on the subsequent date on which all market stand-off agreements applicable to the offering have terminated);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actively employing in good faith commercially reasonable efforts to cause such registration statement to become effective;</w:t>
      </w:r>
    </w:p>
    <w:p>
      <w:pPr>
        <w:spacing w:after="0" w:line="186" w:lineRule="exact"/>
        <w:rPr>
          <w:rFonts w:ascii="Arial" w:cs="Arial" w:eastAsia="Arial" w:hAnsi="Arial"/>
          <w:sz w:val="18"/>
          <w:szCs w:val="18"/>
          <w:color w:val="auto"/>
        </w:rPr>
      </w:pPr>
    </w:p>
    <w:p>
      <w:pPr>
        <w:ind w:left="-40" w:right="40" w:firstLine="1436"/>
        <w:spacing w:after="0" w:line="277" w:lineRule="auto"/>
        <w:tabs>
          <w:tab w:leader="none" w:pos="188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Initiating Holders propose to dispose of shares of Registrable Securities that may be registered on Form S-3 pursuant to a request made under Section 2.3;</w:t>
      </w:r>
    </w:p>
    <w:p>
      <w:pPr>
        <w:spacing w:after="0" w:line="170" w:lineRule="exact"/>
        <w:rPr>
          <w:rFonts w:ascii="Arial" w:cs="Arial" w:eastAsia="Arial" w:hAnsi="Arial"/>
          <w:sz w:val="18"/>
          <w:szCs w:val="18"/>
          <w:color w:val="auto"/>
        </w:rPr>
      </w:pPr>
    </w:p>
    <w:p>
      <w:pPr>
        <w:ind w:left="-40" w:right="260" w:firstLine="1436"/>
        <w:spacing w:after="0" w:line="277" w:lineRule="auto"/>
        <w:tabs>
          <w:tab w:leader="none" w:pos="193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Initiating Holders do not request that such offering be firmly underwritten by underwriters selected by the Initiating Holders (subject to the consent of the Company); or</w:t>
      </w:r>
    </w:p>
    <w:p>
      <w:pPr>
        <w:spacing w:after="0" w:line="170" w:lineRule="exact"/>
        <w:rPr>
          <w:rFonts w:ascii="Arial" w:cs="Arial" w:eastAsia="Arial" w:hAnsi="Arial"/>
          <w:sz w:val="18"/>
          <w:szCs w:val="18"/>
          <w:color w:val="auto"/>
        </w:rPr>
      </w:pPr>
    </w:p>
    <w:p>
      <w:pPr>
        <w:ind w:left="-40" w:right="40" w:firstLine="1436"/>
        <w:spacing w:after="0" w:line="277" w:lineRule="auto"/>
        <w:tabs>
          <w:tab w:leader="none" w:pos="183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Company and the Initiating Holders are unable to obtain the commitment of the underwriter described in clause (b)(viii) above to firmly underwrite the offer.</w:t>
      </w:r>
    </w:p>
    <w:p>
      <w:pPr>
        <w:spacing w:after="0" w:line="170" w:lineRule="exact"/>
        <w:rPr>
          <w:rFonts w:ascii="Arial" w:cs="Arial" w:eastAsia="Arial" w:hAnsi="Arial"/>
          <w:sz w:val="18"/>
          <w:szCs w:val="18"/>
          <w:color w:val="auto"/>
        </w:rPr>
      </w:pPr>
    </w:p>
    <w:p>
      <w:pPr>
        <w:ind w:left="-40" w:right="40" w:firstLine="885"/>
        <w:spacing w:after="0" w:line="291" w:lineRule="auto"/>
        <w:tabs>
          <w:tab w:leader="none" w:pos="1221" w:val="left"/>
        </w:tabs>
        <w:numPr>
          <w:ilvl w:val="0"/>
          <w:numId w:val="1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Deferral. </w:t>
      </w:r>
      <w:r>
        <w:rPr>
          <w:rFonts w:ascii="Arial" w:cs="Arial" w:eastAsia="Arial" w:hAnsi="Arial"/>
          <w:sz w:val="16"/>
          <w:szCs w:val="16"/>
          <w:color w:val="auto"/>
        </w:rPr>
        <w:t>If (i) in the good faith judgment of the Board, the filing of a registration statement covering the Registrable Securities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detrimental to the Company and the Board concludes, as a result, that it is in the best interests of the Company to defer the filing of such registration statement at such time, and (ii) the Company shall furnish to such Holders a certificate signed by the President of the Company stating that in the good faith judgment of the Board, it would be detrimental to the Company for such registration statement to be filed in the near future and that it is, therefore, in the best interests of the Company to defer the filing of such registration statement, then (in addition to the limitations set forth in Section 2.1(b)(vi) above) the Company shall have the right to defer such filing for a period of not more than ninety (90) days after receipt of the request of the Initiating Holders, and, provided further, that the Company shall not defer its obligation in this manner more than twice in any twelve-month period.</w:t>
      </w:r>
    </w:p>
    <w:p>
      <w:pPr>
        <w:spacing w:after="0" w:line="167" w:lineRule="exact"/>
        <w:rPr>
          <w:rFonts w:ascii="Arial" w:cs="Arial" w:eastAsia="Arial" w:hAnsi="Arial"/>
          <w:sz w:val="16"/>
          <w:szCs w:val="16"/>
          <w:color w:val="auto"/>
        </w:rPr>
      </w:pPr>
    </w:p>
    <w:p>
      <w:pPr>
        <w:ind w:left="-40" w:right="560" w:firstLine="885"/>
        <w:spacing w:after="0" w:line="308" w:lineRule="auto"/>
        <w:tabs>
          <w:tab w:leader="none" w:pos="1231" w:val="left"/>
        </w:tabs>
        <w:numPr>
          <w:ilvl w:val="0"/>
          <w:numId w:val="1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Shares. </w:t>
      </w:r>
      <w:r>
        <w:rPr>
          <w:rFonts w:ascii="Arial" w:cs="Arial" w:eastAsia="Arial" w:hAnsi="Arial"/>
          <w:sz w:val="17"/>
          <w:szCs w:val="17"/>
          <w:color w:val="auto"/>
        </w:rPr>
        <w:t>The registration statement filed pursuant to the request of the Initiating Holders may, subject to the provisions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2.1(e), include Other Shares, and may include securities of the Company being sold for the account of the Company.</w:t>
      </w:r>
    </w:p>
    <w:p>
      <w:pPr>
        <w:spacing w:after="0" w:line="146" w:lineRule="exact"/>
        <w:rPr>
          <w:rFonts w:ascii="Arial" w:cs="Arial" w:eastAsia="Arial" w:hAnsi="Arial"/>
          <w:sz w:val="17"/>
          <w:szCs w:val="17"/>
          <w:color w:val="auto"/>
        </w:rPr>
      </w:pPr>
    </w:p>
    <w:p>
      <w:pPr>
        <w:ind w:left="-40" w:firstLine="885"/>
        <w:spacing w:after="0" w:line="255" w:lineRule="auto"/>
        <w:tabs>
          <w:tab w:leader="none" w:pos="1221"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Underwriting. </w:t>
      </w:r>
      <w:r>
        <w:rPr>
          <w:rFonts w:ascii="Arial" w:cs="Arial" w:eastAsia="Arial" w:hAnsi="Arial"/>
          <w:sz w:val="18"/>
          <w:szCs w:val="18"/>
          <w:color w:val="auto"/>
        </w:rPr>
        <w:t>The right of any Holder to include all or any portion of its Registrable Securities in a registration pursuant to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2.1 shall be conditioned upon such Holder’s participation in an underwriting and the inclusion of such Holder’s Registrable Securities to the extent provided herein. If the Company shall request inclusion in any registration pursuant to Section 2.1 of securities being sold for its own account, or if other persons shall request inclusion in any registration pursuant to Section 2.1, the Initiating Holders shall, on behalf of all Holders, offer to include such securities in the underwriting and such offer shall be conditioned upon the participation of the Company or such other persons in such underwriting and the inclusion of the Company’s and such person’s other securities of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4" w:right="459" w:bottom="1440" w:gutter="0" w:footer="0" w:header="0"/>
        </w:sectPr>
      </w:pPr>
    </w:p>
    <w:bookmarkStart w:id="206" w:name="page207"/>
    <w:bookmarkEnd w:id="20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their acceptance of the further applicable provisions of this Section 2 (including Section 2.10). The Company shall (together with all Holders and other persons proposing to distribute their securities through such underwriting) enter into an underwriting agreement in customary form with the representative of the underwriter or underwriters selected for such underwriting by the Company, which underwriters are reasonably acceptable to a majority-in-interest of the Initiating Holders.</w:t>
      </w:r>
    </w:p>
    <w:p>
      <w:pPr>
        <w:spacing w:after="0" w:line="18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Notwithstanding any other provision of this Section 2.1, if the underwriters advise the Initiating Holders in writing that marketing factors require a limitation on the number of shares to be underwritten, the number of Registrable Securities and Other Shares that may be so included shall be allocated as follows: (i) first, among all Holders requesting to include Registrable Securities in such registration based on the pro rata percentage of Registerable Securities held by such Holder, assuming conversion; (ii) second, to the Other Selling Stockholders requesting to include Other Shares in such registration statement based on the pro rata percentage of Other Shares held by such Other Selling Stockholders, assuming conversion; and (iii) third, to the Company, which the Company may allocate, at its discretion, for its own account, or for the account of other holders or employees of the Company.</w:t>
      </w:r>
    </w:p>
    <w:p>
      <w:pPr>
        <w:spacing w:after="0" w:line="16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If a person who has requested inclusion in such registration as provided above does not agree to the terms of any such underwriting, such person shall be excluded therefrom by written notice from the Company, the underwriter or the Initiating Holders. The securities so excluded shall also be withdrawn from registration. Any Registrable Securities or other securities excluded or withdrawn from such underwriting shall also be withdrawn from such registration. If shares are so withdrawn from the registration and if the number of shares to be included in such registration was previously reduced as a result of marketing factors pursuant to this Section 2.1(e), then the Company shall then offer to all Holders and Other Selling Stockholders who have retained rights to include securities in the registration the right to include additional Registrable Securities or Other Shares in the registration in an aggregate amount equal to the number of shares so withdrawn, with such shares to be allocated among such Holders and Other Selling Stockholders requesting additional inclusion, as set forth above.</w:t>
      </w:r>
    </w:p>
    <w:p>
      <w:pPr>
        <w:spacing w:after="0" w:line="2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Company Registration.</w:t>
      </w:r>
    </w:p>
    <w:p>
      <w:pPr>
        <w:spacing w:after="0" w:line="121" w:lineRule="exact"/>
        <w:rPr>
          <w:sz w:val="20"/>
          <w:szCs w:val="20"/>
          <w:color w:val="auto"/>
        </w:rPr>
      </w:pPr>
    </w:p>
    <w:p>
      <w:pPr>
        <w:ind w:right="60" w:firstLine="885"/>
        <w:spacing w:after="0" w:line="259" w:lineRule="auto"/>
        <w:tabs>
          <w:tab w:leader="none" w:pos="1261"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Registration. </w:t>
      </w:r>
      <w:r>
        <w:rPr>
          <w:rFonts w:ascii="Arial" w:cs="Arial" w:eastAsia="Arial" w:hAnsi="Arial"/>
          <w:sz w:val="18"/>
          <w:szCs w:val="18"/>
          <w:color w:val="auto"/>
        </w:rPr>
        <w:t>If the Company shall determine to register any of its securities either for its own account or the account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holder or holders, other than a registration pursuant to Section 2.1 or 2.3, a registration relating solely to employee benefit plans, a registration relating to the offer and sale of debt securities, a registration relating to a corporate reorganization or other Rule 145 transaction, or a registration on any registration form that does not permit secondary sales, the Company will:</w:t>
      </w:r>
    </w:p>
    <w:p>
      <w:pPr>
        <w:spacing w:after="0" w:line="186" w:lineRule="exact"/>
        <w:rPr>
          <w:rFonts w:ascii="Arial" w:cs="Arial" w:eastAsia="Arial" w:hAnsi="Arial"/>
          <w:sz w:val="18"/>
          <w:szCs w:val="18"/>
          <w:color w:val="auto"/>
        </w:rPr>
      </w:pPr>
    </w:p>
    <w:p>
      <w:pPr>
        <w:ind w:left="1780" w:hanging="344"/>
        <w:spacing w:after="0"/>
        <w:tabs>
          <w:tab w:leader="none" w:pos="17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to all Holders; and</w:t>
      </w:r>
    </w:p>
    <w:p>
      <w:pPr>
        <w:spacing w:after="0" w:line="225" w:lineRule="exact"/>
        <w:rPr>
          <w:rFonts w:ascii="Arial" w:cs="Arial" w:eastAsia="Arial" w:hAnsi="Arial"/>
          <w:sz w:val="18"/>
          <w:szCs w:val="18"/>
          <w:color w:val="auto"/>
        </w:rPr>
      </w:pPr>
    </w:p>
    <w:p>
      <w:pPr>
        <w:ind w:right="200" w:firstLine="1436"/>
        <w:spacing w:after="0" w:line="279" w:lineRule="auto"/>
        <w:tabs>
          <w:tab w:leader="none" w:pos="183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use its commercially reasonable efforts to include in such registration (and any related qualification under blue sky laws or other compliance), except as set forth in Section 2.2(b) below, and in any underwriting involved therein, all of such Registrable Securities as are specified in a written request or requests made by any Holder or Holders received by the Company within ten (10) days after such written notice from the Company is mailed or delivered. Such written request may specify all or a part of a Holder’s Registrable Securities.</w:t>
      </w:r>
    </w:p>
    <w:p>
      <w:pPr>
        <w:spacing w:after="0" w:line="171" w:lineRule="exact"/>
        <w:rPr>
          <w:rFonts w:ascii="Arial" w:cs="Arial" w:eastAsia="Arial" w:hAnsi="Arial"/>
          <w:sz w:val="17"/>
          <w:szCs w:val="17"/>
          <w:color w:val="auto"/>
        </w:rPr>
      </w:pPr>
    </w:p>
    <w:p>
      <w:pPr>
        <w:ind w:right="140" w:firstLine="885"/>
        <w:spacing w:after="0" w:line="286" w:lineRule="auto"/>
        <w:tabs>
          <w:tab w:leader="none" w:pos="1271"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Underwriting. </w:t>
      </w:r>
      <w:r>
        <w:rPr>
          <w:rFonts w:ascii="Arial" w:cs="Arial" w:eastAsia="Arial" w:hAnsi="Arial"/>
          <w:sz w:val="17"/>
          <w:szCs w:val="17"/>
          <w:color w:val="auto"/>
        </w:rPr>
        <w:t>If the registration of which the Company gives notice is for a registered public offering involving an underwriting,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shall so advise the Holders as a part of the written notice given pursuant to Section 2.2(a)(i). In such event, the right of any Holder to registration pursuant to this Section 2.2 shall be conditioned upon such Holder’s participation in such underwriting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07" w:name="page208"/>
    <w:bookmarkEnd w:id="20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inclusion of such Holder’s Registrable Securities in the underwriting to the extent provided herein. All Holders proposing to distribute their securities through such underwriting shall (together with the Company, the Other Selling Stockholders and other holders of securities of the Company with registration rights to participate therein distributing their securities through such underwriting) enter into an underwriting agreement in customary form with the representative of the underwriter or underwriters selected by the Company.</w:t>
      </w:r>
    </w:p>
    <w:p>
      <w:pPr>
        <w:spacing w:after="0" w:line="18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Notwithstanding any other provision of this Section 2.2, if the underwriters advise the Company in writing that marketing factors require a limitation on the number of shares to be underwritten, the underwriters may (subject to the limitations set forth below) exclude all Registrable Securities from, or limit the number of Registrable Securities to be included in, the registration and underwriting. The Company shall so advise all holders of securities requesting registration, and the number of shares of securities that are entitled to be included in the registration and underwriting shall be allocated, as follows: (i) first, to the Company for securities being sold for its own account, (ii) second, to the Holders (other than Founder) requesting to include Registrable Securities (other than Founder Registrable Securities) in such registration statement based on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percentage of Registrable Securities held by such Holders, assuming conversion, (iii) third, to Founder if he requests inclusion of Founder Registrable Securities in such registration, and (iv) fourth, to the Other Selling Stockholders requesting to include Other Shares in such registration statement based on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percentage of Other Shares held by such Other Selling Stockholders, assuming conversion.</w:t>
      </w:r>
    </w:p>
    <w:p>
      <w:pPr>
        <w:spacing w:after="0" w:line="182"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If a person who has requested inclusion in such registration as provided above does not agree to the terms of any such underwriting, such person shall also be excluded therefrom by written notice from the Company or the underwriter. The Registrable Securities or other securities so excluded shall also be withdrawn from such registration. Any Registrable Securities or other securities excluded or withdrawn from such underwriting shall be withdrawn from such registration.</w:t>
      </w:r>
    </w:p>
    <w:p>
      <w:pPr>
        <w:spacing w:after="0" w:line="187" w:lineRule="exact"/>
        <w:rPr>
          <w:sz w:val="20"/>
          <w:szCs w:val="20"/>
          <w:color w:val="auto"/>
        </w:rPr>
      </w:pPr>
    </w:p>
    <w:p>
      <w:pPr>
        <w:ind w:right="100" w:firstLine="885"/>
        <w:spacing w:after="0" w:line="342" w:lineRule="auto"/>
        <w:tabs>
          <w:tab w:leader="none" w:pos="1261"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Terminate Registration. </w:t>
      </w:r>
      <w:r>
        <w:rPr>
          <w:rFonts w:ascii="Arial" w:cs="Arial" w:eastAsia="Arial" w:hAnsi="Arial"/>
          <w:sz w:val="16"/>
          <w:szCs w:val="16"/>
          <w:color w:val="auto"/>
        </w:rPr>
        <w:t>The Company shall have the right to terminate or withdraw any registration initiated by it under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2.2 prior to the effectiveness of such registration whether or not any Holder has elected to include securities in such registration.</w:t>
      </w:r>
    </w:p>
    <w:p>
      <w:pPr>
        <w:spacing w:after="0" w:line="22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Registration on Form S-3.</w:t>
      </w:r>
    </w:p>
    <w:p>
      <w:pPr>
        <w:spacing w:after="0" w:line="121" w:lineRule="exact"/>
        <w:rPr>
          <w:sz w:val="20"/>
          <w:szCs w:val="20"/>
          <w:color w:val="auto"/>
        </w:rPr>
      </w:pPr>
    </w:p>
    <w:p>
      <w:pPr>
        <w:ind w:right="20" w:firstLine="885"/>
        <w:spacing w:after="0" w:line="272" w:lineRule="auto"/>
        <w:tabs>
          <w:tab w:leader="none" w:pos="1261"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Request for Form S-3 Registration</w:t>
      </w:r>
      <w:r>
        <w:rPr>
          <w:rFonts w:ascii="Arial" w:cs="Arial" w:eastAsia="Arial" w:hAnsi="Arial"/>
          <w:sz w:val="17"/>
          <w:szCs w:val="17"/>
          <w:color w:val="auto"/>
        </w:rPr>
        <w:t>. After its Initial Public Offering, the Company shall use its commercially reasonable efforts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qualify for registration on Form S-3 or any comparable or successor form or forms. After the Company has qualified for the use of Form S-3, in addition to the rights contained in the foregoing provisions of this Section 2 and subject to the conditions set forth in this Section 2.3, if the Company shall receive from a Holder or Holders of Registrable Securities a written request that the Company effect any registration on Form S-3 or any similar short form registration statement with respect to all or part of the Registrable Securities (such request shall state the number of shares of Registrable Securities to be disposed of and the intended methods of disposition of such shares by such Holder or Holders), the Company will take all such action with respect to such Registrable Securities as required by Section 2.1(a)(i) and 2.1(a)(ii).</w:t>
      </w:r>
    </w:p>
    <w:p>
      <w:pPr>
        <w:spacing w:after="0" w:line="177" w:lineRule="exact"/>
        <w:rPr>
          <w:rFonts w:ascii="Arial" w:cs="Arial" w:eastAsia="Arial" w:hAnsi="Arial"/>
          <w:sz w:val="17"/>
          <w:szCs w:val="17"/>
          <w:color w:val="auto"/>
        </w:rPr>
      </w:pPr>
    </w:p>
    <w:p>
      <w:pPr>
        <w:ind w:firstLine="885"/>
        <w:spacing w:after="0" w:line="277" w:lineRule="auto"/>
        <w:tabs>
          <w:tab w:leader="none" w:pos="1271"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Limitations on Form S-3 Registration. </w:t>
      </w:r>
      <w:r>
        <w:rPr>
          <w:rFonts w:ascii="Arial" w:cs="Arial" w:eastAsia="Arial" w:hAnsi="Arial"/>
          <w:sz w:val="18"/>
          <w:szCs w:val="18"/>
          <w:color w:val="auto"/>
        </w:rPr>
        <w:t>The Company shall not be obligated to effect, or take any action to effect, any such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this Section 2.3:</w:t>
      </w:r>
    </w:p>
    <w:p>
      <w:pPr>
        <w:spacing w:after="0" w:line="170" w:lineRule="exact"/>
        <w:rPr>
          <w:sz w:val="20"/>
          <w:szCs w:val="20"/>
          <w:color w:val="auto"/>
        </w:rPr>
      </w:pPr>
    </w:p>
    <w:p>
      <w:pPr>
        <w:ind w:left="5400" w:right="3300" w:hanging="3964"/>
        <w:spacing w:after="0" w:line="449" w:lineRule="auto"/>
        <w:tabs>
          <w:tab w:leader="none" w:pos="177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circumstances described in either Sections 2.1(b)(i), 2.1(b)(iii) or 2.1(b)(vi); -7-</w:t>
      </w:r>
    </w:p>
    <w:p>
      <w:pPr>
        <w:sectPr>
          <w:pgSz w:w="11900" w:h="16838" w:orient="portrait"/>
          <w:cols w:equalWidth="0" w:num="1">
            <w:col w:w="11020"/>
          </w:cols>
          <w:pgMar w:left="440" w:top="274" w:right="439" w:bottom="1440" w:gutter="0" w:footer="0" w:header="0"/>
        </w:sectPr>
      </w:pPr>
    </w:p>
    <w:bookmarkStart w:id="208" w:name="page209"/>
    <w:bookmarkEnd w:id="208"/>
    <w:p>
      <w:pPr>
        <w:jc w:val="both"/>
        <w:ind w:right="520" w:firstLine="1436"/>
        <w:spacing w:after="0" w:line="342" w:lineRule="auto"/>
        <w:tabs>
          <w:tab w:leader="none" w:pos="1833" w:val="left"/>
        </w:tabs>
        <w:numPr>
          <w:ilvl w:val="1"/>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Holders, together with the holders of any other securities of the Company entitled to inclusion in such registration, propose to sell Registrable Securities and such other securities (if any) on Form S-3 at an aggregate price to the public of less than $1,000,000; or</w:t>
      </w:r>
    </w:p>
    <w:p>
      <w:pPr>
        <w:spacing w:after="0" w:line="123" w:lineRule="exact"/>
        <w:rPr>
          <w:rFonts w:ascii="Arial" w:cs="Arial" w:eastAsia="Arial" w:hAnsi="Arial"/>
          <w:sz w:val="16"/>
          <w:szCs w:val="16"/>
          <w:color w:val="auto"/>
        </w:rPr>
      </w:pPr>
    </w:p>
    <w:p>
      <w:pPr>
        <w:ind w:left="1880" w:hanging="444"/>
        <w:spacing w:after="0"/>
        <w:tabs>
          <w:tab w:leader="none" w:pos="18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in a given twelve-month period, the Company has effected two (2) such registrations in such period.</w:t>
      </w:r>
    </w:p>
    <w:p>
      <w:pPr>
        <w:spacing w:after="0" w:line="225" w:lineRule="exact"/>
        <w:rPr>
          <w:rFonts w:ascii="Arial" w:cs="Arial" w:eastAsia="Arial" w:hAnsi="Arial"/>
          <w:sz w:val="18"/>
          <w:szCs w:val="18"/>
          <w:color w:val="auto"/>
        </w:rPr>
      </w:pPr>
    </w:p>
    <w:p>
      <w:pPr>
        <w:ind w:left="1260" w:hanging="375"/>
        <w:spacing w:after="0"/>
        <w:tabs>
          <w:tab w:leader="none" w:pos="126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Deferral. </w:t>
      </w:r>
      <w:r>
        <w:rPr>
          <w:rFonts w:ascii="Arial" w:cs="Arial" w:eastAsia="Arial" w:hAnsi="Arial"/>
          <w:sz w:val="18"/>
          <w:szCs w:val="18"/>
          <w:color w:val="auto"/>
        </w:rPr>
        <w:t>The provisions of Section 2.1(c) shall apply to any registration pursuant to this Section 2.3.</w:t>
      </w:r>
    </w:p>
    <w:p>
      <w:pPr>
        <w:spacing w:after="0" w:line="225" w:lineRule="exact"/>
        <w:rPr>
          <w:rFonts w:ascii="Arial" w:cs="Arial" w:eastAsia="Arial" w:hAnsi="Arial"/>
          <w:sz w:val="18"/>
          <w:szCs w:val="18"/>
          <w:color w:val="auto"/>
        </w:rPr>
      </w:pPr>
    </w:p>
    <w:p>
      <w:pPr>
        <w:ind w:right="40" w:firstLine="885"/>
        <w:spacing w:after="0" w:line="259" w:lineRule="auto"/>
        <w:tabs>
          <w:tab w:leader="none" w:pos="1271"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Underwriting. </w:t>
      </w:r>
      <w:r>
        <w:rPr>
          <w:rFonts w:ascii="Arial" w:cs="Arial" w:eastAsia="Arial" w:hAnsi="Arial"/>
          <w:sz w:val="18"/>
          <w:szCs w:val="18"/>
          <w:color w:val="auto"/>
        </w:rPr>
        <w:t>If the Holders of Registrable Securities requesting registration under this Section 2.3 intend to distribute the Registrable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covered by their request by means of an underwriting, the provisions of Section 2.1(e) shall apply to such registration. Notwithstanding anything contained herein to the contrary, registrations effected pursuant to this Section 2.3 shall not be counted as requests for registration or registrations effected pursuant to Section 2.1.</w:t>
      </w:r>
    </w:p>
    <w:p>
      <w:pPr>
        <w:spacing w:after="0" w:line="18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b w:val="1"/>
          <w:bCs w:val="1"/>
          <w:color w:val="auto"/>
        </w:rPr>
        <w:t xml:space="preserve">2.4 Expenses of Registration. </w:t>
      </w:r>
      <w:r>
        <w:rPr>
          <w:rFonts w:ascii="Arial" w:cs="Arial" w:eastAsia="Arial" w:hAnsi="Arial"/>
          <w:sz w:val="17"/>
          <w:szCs w:val="17"/>
          <w:color w:val="auto"/>
        </w:rPr>
        <w:t>All Registration Expenses incurred in connection with registrations pursuant to Sections 2.1, 2.2 and 2.3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borne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shall not be required to pay for any expenses of any registration proceeding begun pursuant to Sections 2.1 and 2.3 if the registration request is subsequently withdrawn at the request of the Holders holding a majority of Registrable Securities then outstanding to be registered or because a sufficient number of Holders shall have withdrawn so that the minimum offering conditions set forth in Sections 2.1 and 2.3 are no longer satisfied (in which case all participating Holders shall bear such expenses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each other based on the number of Registrable Securities requested to be so registered), unless the Holders holding of a majority of Registrable Securities then outstanding agree to forfeit their right to a demand registration pursuant to Section 2.1. All Selling Expenses relating to securities registered on behalf of the Holders shall be borne by the holders of securities included in such registration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each other on the basis of the number of Registrable Securities so registered.</w:t>
      </w:r>
    </w:p>
    <w:p>
      <w:pPr>
        <w:spacing w:after="0" w:line="174"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b w:val="1"/>
          <w:bCs w:val="1"/>
          <w:color w:val="auto"/>
        </w:rPr>
        <w:t xml:space="preserve">2.5 Registration Procedures. </w:t>
      </w:r>
      <w:r>
        <w:rPr>
          <w:rFonts w:ascii="Arial" w:cs="Arial" w:eastAsia="Arial" w:hAnsi="Arial"/>
          <w:sz w:val="18"/>
          <w:szCs w:val="18"/>
          <w:color w:val="auto"/>
        </w:rPr>
        <w:t>In the case of each registration effected by the Company pursuant to Section 2, the Company will keep each</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advised in writing as to the initiation of each registration and as to the completion thereof. At its expense, the Company will use its commercially reasonable efforts to:</w:t>
      </w:r>
    </w:p>
    <w:p>
      <w:pPr>
        <w:spacing w:after="0" w:line="180" w:lineRule="exact"/>
        <w:rPr>
          <w:sz w:val="20"/>
          <w:szCs w:val="20"/>
          <w:color w:val="auto"/>
        </w:rPr>
      </w:pPr>
    </w:p>
    <w:p>
      <w:pPr>
        <w:ind w:right="160" w:firstLine="885"/>
        <w:spacing w:after="0" w:line="342" w:lineRule="auto"/>
        <w:tabs>
          <w:tab w:leader="none" w:pos="126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Keep such registration effective for a period of ending on the earlier of the date which is sixty (60) days from the effective date of the registration statement or such time as the Holder or Holders have completed the distribution described in the registration statement relating thereto;</w:t>
      </w:r>
    </w:p>
    <w:p>
      <w:pPr>
        <w:spacing w:after="0" w:line="123" w:lineRule="exact"/>
        <w:rPr>
          <w:rFonts w:ascii="Arial" w:cs="Arial" w:eastAsia="Arial" w:hAnsi="Arial"/>
          <w:sz w:val="16"/>
          <w:szCs w:val="16"/>
          <w:color w:val="auto"/>
        </w:rPr>
      </w:pPr>
    </w:p>
    <w:p>
      <w:pPr>
        <w:ind w:right="40" w:firstLine="885"/>
        <w:spacing w:after="0" w:line="264" w:lineRule="auto"/>
        <w:tabs>
          <w:tab w:leader="none" w:pos="127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1" w:lineRule="exact"/>
        <w:rPr>
          <w:rFonts w:ascii="Arial" w:cs="Arial" w:eastAsia="Arial" w:hAnsi="Arial"/>
          <w:sz w:val="18"/>
          <w:szCs w:val="18"/>
          <w:color w:val="auto"/>
        </w:rPr>
      </w:pPr>
    </w:p>
    <w:p>
      <w:pPr>
        <w:ind w:right="320" w:firstLine="885"/>
        <w:spacing w:after="0" w:line="277" w:lineRule="auto"/>
        <w:tabs>
          <w:tab w:leader="none" w:pos="126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Furnish such number of prospectuses, including any preliminary prospectuses, and other documents incident thereto, including any amendment of or supplement to the prospectus, as a Holder from time to time may reasonably request;</w:t>
      </w:r>
    </w:p>
    <w:p>
      <w:pPr>
        <w:spacing w:after="0" w:line="170" w:lineRule="exact"/>
        <w:rPr>
          <w:rFonts w:ascii="Arial" w:cs="Arial" w:eastAsia="Arial" w:hAnsi="Arial"/>
          <w:sz w:val="18"/>
          <w:szCs w:val="18"/>
          <w:color w:val="auto"/>
        </w:rPr>
      </w:pPr>
    </w:p>
    <w:p>
      <w:pPr>
        <w:ind w:right="180" w:firstLine="885"/>
        <w:spacing w:after="0" w:line="312" w:lineRule="auto"/>
        <w:tabs>
          <w:tab w:leader="none" w:pos="127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Use its reasonable best efforts to register and qualify the securities covered by such registration statement under such other securities or Blue Sky laws of such jurisdiction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required in connection therewith or as a condition thereto to qualify to do business or to file a general consent to service of process in any such states or jurisdictions;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09" w:name="page210"/>
    <w:bookmarkEnd w:id="209"/>
    <w:p>
      <w:pPr>
        <w:ind w:left="-20" w:right="180" w:firstLine="885"/>
        <w:spacing w:after="0" w:line="291" w:lineRule="auto"/>
        <w:tabs>
          <w:tab w:leader="none" w:pos="1241"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light of the circumstances then existing, and following such notification promptly prepare and furnish to such seller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light of the circumstances then existing;</w:t>
      </w:r>
    </w:p>
    <w:p>
      <w:pPr>
        <w:spacing w:after="0" w:line="167" w:lineRule="exact"/>
        <w:rPr>
          <w:rFonts w:ascii="Arial" w:cs="Arial" w:eastAsia="Arial" w:hAnsi="Arial"/>
          <w:sz w:val="16"/>
          <w:szCs w:val="16"/>
          <w:color w:val="auto"/>
        </w:rPr>
      </w:pPr>
    </w:p>
    <w:p>
      <w:pPr>
        <w:ind w:left="-20" w:right="440" w:firstLine="885"/>
        <w:spacing w:after="0" w:line="277" w:lineRule="auto"/>
        <w:tabs>
          <w:tab w:leader="none" w:pos="122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such registration statement and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left="-20" w:right="40" w:firstLine="885"/>
        <w:spacing w:after="0" w:line="277" w:lineRule="auto"/>
        <w:tabs>
          <w:tab w:leader="none" w:pos="125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on which similar securities issued by the Company are then listed; and</w:t>
      </w:r>
    </w:p>
    <w:p>
      <w:pPr>
        <w:spacing w:after="0" w:line="170" w:lineRule="exact"/>
        <w:rPr>
          <w:rFonts w:ascii="Arial" w:cs="Arial" w:eastAsia="Arial" w:hAnsi="Arial"/>
          <w:sz w:val="18"/>
          <w:szCs w:val="18"/>
          <w:color w:val="auto"/>
        </w:rPr>
      </w:pPr>
    </w:p>
    <w:p>
      <w:pPr>
        <w:ind w:left="-20" w:right="340" w:firstLine="885"/>
        <w:spacing w:after="0" w:line="259" w:lineRule="auto"/>
        <w:tabs>
          <w:tab w:leader="none" w:pos="125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connection with any underwritten offering pursuant to a registration statement filed pursuant to Section 2.1, enter into an underwriting agreement in form reasonably necessary to effect the offer and sale of Common Stock, provided such underwriting agreement contains reasonable and customary provisions, and provided further, that each Holder participating in such underwriting shall also enter into and perform its obligations under such an agreement.</w:t>
      </w:r>
    </w:p>
    <w:p>
      <w:pPr>
        <w:spacing w:after="0" w:line="29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left="-20" w:firstLine="885"/>
        <w:spacing w:after="0" w:line="285" w:lineRule="auto"/>
        <w:tabs>
          <w:tab w:leader="none" w:pos="123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Holder, each of its officers, directors and partners, legal counsel and accountants and each person controlling such Holder within the meaning of Section 15 of the Securities Act, with respect to which registration, qualification or compliance has been effected pursuant to this Section 2, and each underwriter, if any, and each person who controls within the meaning of Section 15 of the Securities Act any underwriter, against all expenses, claims, losses, damages and liabilities (or actions, proceedings or settlements in respect thereof) arising out of or based on: (i) any untrue statement (or alleged untrue statement) of a material fact contained or incorporated by reference in any registration statement, any prospectus included in the registration statement, any issuer free writing prospectus (as defined in Rule 433 of the Securities Act), any issuer information (as defined in Rule 433 of the Securities Act) filed or required to be filed pursuant to Rule 433(d) under the Securities Act or any other document incident to any such registration, qualification or compliance prepared by or on behalf of the Company or used or referred to by the Company, (ii) any omission (or alleged omission) to state therein a material fact required to be stated therein or necessary to make the statements therein not misleading, or (iii) any violation (or alleged violation) by the Company of the Securities Act, any state securities laws or any rule or regulation thereunder applicable to the Company and relating to action or inaction required of the Company in connection with any offering covered by such registration, qualification or compliance, and the Company will reimburse each such Holder, each of its officers, directors, partners, legal counsel and accountants and each person controlling such Holder, each such underwriter and each person who controls any such underwriter, for any legal and any other expenses reasonably incurred in connection with investigating and defending or settling any such claim, loss,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liable in any such case to the extent that any such claim, loss, damage, liability, or action arises out of or is based on any untrue statement or omission based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210" w:name="page211"/>
    <w:bookmarkEnd w:id="210"/>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written information furnished to the Company by such Holder, any of such Holder’s officers, directors, partners, legal counsel or accountants, any person controlling such Holder, such underwriter or any person who controls any such underwriter, and stated to be specifically for use therein; and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 </w:t>
      </w:r>
      <w:r>
        <w:rPr>
          <w:rFonts w:ascii="Arial" w:cs="Arial" w:eastAsia="Arial" w:hAnsi="Arial"/>
          <w:sz w:val="16"/>
          <w:szCs w:val="16"/>
          <w:color w:val="auto"/>
        </w:rPr>
        <w:t>that, the indemnity agreement contained in this Section 2.6(a) shall not apply to amounts paid in settlement of any such loss, claim,</w:t>
      </w:r>
      <w:r>
        <w:rPr>
          <w:rFonts w:ascii="Arial" w:cs="Arial" w:eastAsia="Arial" w:hAnsi="Arial"/>
          <w:sz w:val="16"/>
          <w:szCs w:val="16"/>
          <w:i w:val="1"/>
          <w:iCs w:val="1"/>
          <w:color w:val="auto"/>
        </w:rPr>
        <w:t xml:space="preserve"> </w:t>
      </w:r>
      <w:r>
        <w:rPr>
          <w:rFonts w:ascii="Arial" w:cs="Arial" w:eastAsia="Arial" w:hAnsi="Arial"/>
          <w:sz w:val="16"/>
          <w:szCs w:val="16"/>
          <w:color w:val="auto"/>
        </w:rPr>
        <w:t>damage, liability or action if such settlement is effected without the consent of the Company (which consent shall not be unreasonably withheld).</w:t>
      </w:r>
    </w:p>
    <w:p>
      <w:pPr>
        <w:spacing w:after="0" w:line="154" w:lineRule="exact"/>
        <w:rPr>
          <w:sz w:val="20"/>
          <w:szCs w:val="20"/>
          <w:color w:val="auto"/>
        </w:rPr>
      </w:pPr>
    </w:p>
    <w:p>
      <w:pPr>
        <w:ind w:firstLine="885"/>
        <w:spacing w:after="0" w:line="267" w:lineRule="auto"/>
        <w:tabs>
          <w:tab w:leader="none" w:pos="126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Holder will, if Registrable Securities held by such Holder are included in the securities as to which such registration, qualification or compliance is being effected, indemnify and hold harmless the Company, each of its directors, officers, partners, legal counsel and accountants and each underwriter, if any, of the Company’s securities covered by such a registration statement, each person who controls the Company or such underwriter within the meaning of Section 15 of the Securities Act, each other such Holder, and each of their officers, directors and partners, and each person controlling each other such Holder, against all claims, losses, damages and liabilities (or actions in respect thereof) arising out of or based on: (i) any untrue statement (or alleged untrue statement) of a material fact contained or incorporated by reference in any prospectus, offering circular or other document (including any related registration statement, notification, or the like) incident to any such registration, qualification or compliance, or (ii) any omission (or alleged omission) to state therein a material fact required to be stated therein or necessary to make the statements therein not misleading, and will reimburse the Company and such Holders, directors, officers, partners, legal counsel and accountants, persons,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obligations of such Holder hereunder shall not apply to amounts paid in settlement of any such claims, losses, damages or liabilities (or actions in respect thereof) if such settlement is effected without the consent of such Holder (which consent shall not be unreasonably withheld);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any indemnity under this Section 2.6 exceed the net proceeds from the offering received by such Holder, except in the case of fraud or willful misconduct by such Holder.</w:t>
      </w:r>
    </w:p>
    <w:p>
      <w:pPr>
        <w:spacing w:after="0" w:line="192" w:lineRule="exact"/>
        <w:rPr>
          <w:rFonts w:ascii="Arial" w:cs="Arial" w:eastAsia="Arial" w:hAnsi="Arial"/>
          <w:sz w:val="17"/>
          <w:szCs w:val="17"/>
          <w:color w:val="auto"/>
        </w:rPr>
      </w:pPr>
    </w:p>
    <w:p>
      <w:pPr>
        <w:ind w:firstLine="885"/>
        <w:spacing w:after="0" w:line="269" w:lineRule="auto"/>
        <w:tabs>
          <w:tab w:leader="none" w:pos="126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Each party entitled to indemnification under this Section 2.6 (the “</w:t>
      </w:r>
      <w:r>
        <w:rPr>
          <w:rFonts w:ascii="Arial" w:cs="Arial" w:eastAsia="Arial" w:hAnsi="Arial"/>
          <w:sz w:val="17"/>
          <w:szCs w:val="17"/>
          <w:b w:val="1"/>
          <w:bCs w:val="1"/>
          <w:i w:val="1"/>
          <w:iCs w:val="1"/>
          <w:color w:val="auto"/>
        </w:rPr>
        <w:t>Indemnified Party</w:t>
      </w:r>
      <w:r>
        <w:rPr>
          <w:rFonts w:ascii="Arial" w:cs="Arial" w:eastAsia="Arial" w:hAnsi="Arial"/>
          <w:sz w:val="17"/>
          <w:szCs w:val="17"/>
          <w:color w:val="auto"/>
        </w:rPr>
        <w:t>”) shall give notice to the party required to provide indemnification (the “</w:t>
      </w:r>
      <w:r>
        <w:rPr>
          <w:rFonts w:ascii="Arial" w:cs="Arial" w:eastAsia="Arial" w:hAnsi="Arial"/>
          <w:sz w:val="17"/>
          <w:szCs w:val="17"/>
          <w:b w:val="1"/>
          <w:bCs w:val="1"/>
          <w:i w:val="1"/>
          <w:iCs w:val="1"/>
          <w:color w:val="auto"/>
        </w:rPr>
        <w:t>Indemnifying Party</w:t>
      </w:r>
      <w:r>
        <w:rPr>
          <w:rFonts w:ascii="Arial" w:cs="Arial" w:eastAsia="Arial" w:hAnsi="Arial"/>
          <w:sz w:val="17"/>
          <w:szCs w:val="17"/>
          <w:color w:val="auto"/>
        </w:rPr>
        <w:t xml:space="preserve">”) promptly after such Indemnified Party has actual knowledge of any claim as to which indemnity may be sought, and shall permit the Indemnifying Party to assume the defense of such claim or any litigation resulting therefrom;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counsel for the Indemnifying Party, who shall conduct the defense of such claim or any litigation resulting therefrom, shall be approved by the Indemnified Party (whose approval shall not be unreasonably withheld), and the Indemnified Party may participate in such defense at such party’s expense;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the failure of any Indemnified Party to give notice as provided herein shall not relieve the Indemnifying Party of its obligations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2.6, to the extent such failure is not prejudicial.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from all liability in respect to such claim or litigation. Each Indemnified Party shall furnish such information regarding itself or the claim in question as an Indemnifying Party may reasonably request in writing and as shall be reasonably required in connection with defense of such claim and litigation resulting therefrom.</w:t>
      </w:r>
    </w:p>
    <w:p>
      <w:pPr>
        <w:spacing w:after="0" w:line="182" w:lineRule="exact"/>
        <w:rPr>
          <w:rFonts w:ascii="Arial" w:cs="Arial" w:eastAsia="Arial" w:hAnsi="Arial"/>
          <w:sz w:val="17"/>
          <w:szCs w:val="17"/>
          <w:color w:val="auto"/>
        </w:rPr>
      </w:pPr>
    </w:p>
    <w:p>
      <w:pPr>
        <w:ind w:right="160" w:firstLine="885"/>
        <w:spacing w:after="0" w:line="342" w:lineRule="auto"/>
        <w:tabs>
          <w:tab w:leader="none" w:pos="127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2.6 is held by a court of competent jurisdiction to be unavailable to an Indemnified Party with respect to any loss, liability, claim, damage, or expense referred to herein, then the Indemnifying Party, in lieu of indemnifying such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11" w:name="page212"/>
    <w:bookmarkEnd w:id="211"/>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 person or entity will be required under this Section 2.6(d) to contribute any amount in excess of the net proceeds from the offering received by such person or entity, except in the case of fraud or willful misconduct by such person or entity. No person or entity guilty of fraudulent misrepresentation (within the meaning of Section 11(f) of the Securities Act) will be entitled to contribution from any person or entity who was not guilty of such fraudulent misrepresentation.</w:t>
      </w:r>
    </w:p>
    <w:p>
      <w:pPr>
        <w:spacing w:after="0" w:line="178" w:lineRule="exact"/>
        <w:rPr>
          <w:sz w:val="20"/>
          <w:szCs w:val="20"/>
          <w:color w:val="auto"/>
        </w:rPr>
      </w:pPr>
    </w:p>
    <w:p>
      <w:pPr>
        <w:ind w:right="380" w:firstLine="885"/>
        <w:spacing w:after="0" w:line="264" w:lineRule="auto"/>
        <w:tabs>
          <w:tab w:leader="none" w:pos="126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7"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2.7 Information by Holder. </w:t>
      </w:r>
      <w:r>
        <w:rPr>
          <w:rFonts w:ascii="Arial" w:cs="Arial" w:eastAsia="Arial" w:hAnsi="Arial"/>
          <w:sz w:val="18"/>
          <w:szCs w:val="18"/>
          <w:color w:val="auto"/>
        </w:rPr>
        <w:t>Each Holder of Registrable Securities shall furnish to the Company such information regarding such 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distribution proposed by such Holder as the Company may reasonably request in writing and as shall be reasonably required in connection with any registration, qualification, or compliance referred to in this Section 2.</w:t>
      </w:r>
    </w:p>
    <w:p>
      <w:pPr>
        <w:spacing w:after="0" w:line="2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Restrictions on Transfer.</w:t>
      </w:r>
    </w:p>
    <w:p>
      <w:pPr>
        <w:spacing w:after="0" w:line="121" w:lineRule="exact"/>
        <w:rPr>
          <w:sz w:val="20"/>
          <w:szCs w:val="20"/>
          <w:color w:val="auto"/>
        </w:rPr>
      </w:pPr>
    </w:p>
    <w:p>
      <w:pPr>
        <w:ind w:right="300" w:firstLine="885"/>
        <w:spacing w:after="0" w:line="257" w:lineRule="auto"/>
        <w:tabs>
          <w:tab w:leader="none" w:pos="125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holder of each certificate representing Registrable Securities by acceptance thereof agrees to comply in all respects with the provisions of this Section 2.8. Each Holder agrees not to make any sale, assignment, transfer, pledge or other disposition of all or any portion of the Restricted Securities, or any beneficial interest therein, unless and until the transferee thereof has agreed in writing for the benefit of the Company to take and hold such Restricted Securities subject to, and to be bound by, the terms and conditions set forth in this Agreement, including, without limitation, this Section 2.8 and Section 2.10, and:</w:t>
      </w:r>
    </w:p>
    <w:p>
      <w:pPr>
        <w:spacing w:after="0" w:line="188" w:lineRule="exact"/>
        <w:rPr>
          <w:rFonts w:ascii="Arial" w:cs="Arial" w:eastAsia="Arial" w:hAnsi="Arial"/>
          <w:sz w:val="18"/>
          <w:szCs w:val="18"/>
          <w:color w:val="auto"/>
        </w:rPr>
      </w:pPr>
    </w:p>
    <w:p>
      <w:pPr>
        <w:ind w:firstLine="1436"/>
        <w:spacing w:after="0" w:line="277" w:lineRule="auto"/>
        <w:tabs>
          <w:tab w:leader="none" w:pos="177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the disposition is made in accordance with the registration statement; or</w:t>
      </w:r>
    </w:p>
    <w:p>
      <w:pPr>
        <w:spacing w:after="0" w:line="170" w:lineRule="exact"/>
        <w:rPr>
          <w:rFonts w:ascii="Arial" w:cs="Arial" w:eastAsia="Arial" w:hAnsi="Arial"/>
          <w:sz w:val="18"/>
          <w:szCs w:val="18"/>
          <w:color w:val="auto"/>
        </w:rPr>
      </w:pPr>
    </w:p>
    <w:p>
      <w:pPr>
        <w:ind w:right="20" w:firstLine="1436"/>
        <w:spacing w:after="0" w:line="255" w:lineRule="auto"/>
        <w:tabs>
          <w:tab w:leader="none" w:pos="182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Holder shall have given prior written notice to the Company of the Holder’s intention to make such disposition and shall have furnished the Company with a detailed description of the manner and circumstances of the proposed disposition, and the Holder shall have furnished the Company, at the Holder’s expense, with (i) an opinion of counsel reasonably satisfactory to the Company to the effect that such disposition will not require registration of such Restricted Securities under the Securities Act or (ii) a “no action” letter from the Commission to the effect that the transfer of such securities without registration will not result in a recommendation by the staff of the Commission that action be taken with respect thereto, whereupon the holder of such Restricted Securities shall be entitled to transfer such Restricted Securities in accordance with the terms of the notice delivered by the Holder to the Company.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12" w:name="page213"/>
    <w:bookmarkEnd w:id="212"/>
    <w:p>
      <w:pPr>
        <w:ind w:right="80" w:firstLine="885"/>
        <w:spacing w:after="0" w:line="290" w:lineRule="auto"/>
        <w:tabs>
          <w:tab w:leader="none" w:pos="1271"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provisions of Section 2.8(a), no such registration statement or opinion of counsel or “no action” letter shall be necessary for (i) a transfer not involving a change in beneficial ownership, or (ii) transactions involving the distribution without consideration of Restricted Securities by any Holder to (x) a parent, subsidiary or other affiliate of the Holder, if the Holder is a corporation, (y) any of the Holder’s partners, members or other equity owners, or retired partners, retired members or other retired equity owners, or to the estate of any of the Holder’s partners, members or other equity owners or retired partners, retired members or other retired equity owners, or (z) a venture capital fund that is controlled by or under common control with one or more general partners or managing members of, or shares the same management company with, the Holder; </w:t>
      </w:r>
      <w:r>
        <w:rPr>
          <w:rFonts w:ascii="Arial" w:cs="Arial" w:eastAsia="Arial" w:hAnsi="Arial"/>
          <w:sz w:val="16"/>
          <w:szCs w:val="16"/>
          <w:i w:val="1"/>
          <w:iCs w:val="1"/>
          <w:color w:val="auto"/>
        </w:rPr>
        <w:t>provided</w:t>
      </w:r>
      <w:r>
        <w:rPr>
          <w:rFonts w:ascii="Arial" w:cs="Arial" w:eastAsia="Arial" w:hAnsi="Arial"/>
          <w:sz w:val="16"/>
          <w:szCs w:val="16"/>
          <w:color w:val="auto"/>
        </w:rPr>
        <w:t>, in each case, that the Holder shall give written notice to the Company of the Holder’s intention to effect such disposition and shall have furnished the Company with a reasonably detailed description of the manner and circumstances of the proposed disposition.</w:t>
      </w:r>
    </w:p>
    <w:p>
      <w:pPr>
        <w:spacing w:after="0" w:line="166" w:lineRule="exact"/>
        <w:rPr>
          <w:rFonts w:ascii="Arial" w:cs="Arial" w:eastAsia="Arial" w:hAnsi="Arial"/>
          <w:sz w:val="16"/>
          <w:szCs w:val="16"/>
          <w:color w:val="auto"/>
        </w:rPr>
      </w:pPr>
    </w:p>
    <w:p>
      <w:pPr>
        <w:ind w:right="100" w:firstLine="885"/>
        <w:spacing w:after="0" w:line="342" w:lineRule="auto"/>
        <w:tabs>
          <w:tab w:leader="none" w:pos="126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Each certificate representing Registrable Securities shall (unless otherwise permitted by the provisions of this Agreement) be stamped or otherwise imprinted with a legend substantially similar to the following (in addition to any legend required under applicable state securities laws):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SECURITIES REPRESENTED HEREBY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THE SECURITIES LAWS OF CERTAIN STATES. THESE SECURITIES MAY NOT BE OFFERED, SOLD OR OTHERWISE TRANSFERRED, PLEDGED OR HYPOTHECATED EXCEPT AS PERMITTED UNDER THE ACT AND APPLICABLE STATE SECURITIES LAWS PURSUANT TO REGISTRATION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SHARES REPRESENTED BY THIS CERTIFICATE ARE SUBJECT TO (1) RESTRICTIONS ON TRANSFERABILITY AND RESALE, INCLUDING A LOCK-UP PERIOD IN THE EVENT OF A PUBLIC OFFERING, AS SET FORTH IN AN INVESTORS’ RIGHTS AGREEMENT, AND (2) VOTING RESTRICTIONS AS SET FORTH IN A VOTING AGREEMENT AMONG THE COMPANY AND THE ORIGINAL HOLDERS OF THESE SHARES, COPIES OF WHICH MAY BE OBTAINED AT THE PRINCIPAL OFFICE OF THE COMPANY.</w:t>
      </w:r>
    </w:p>
    <w:p>
      <w:pPr>
        <w:spacing w:after="0" w:line="17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Holders consent to the Company making a notation on its records and giving instructions to any transfer agent of the Restricted Securities in order to implement the restrictions on transfer established in this Section 2.8.</w:t>
      </w:r>
    </w:p>
    <w:p>
      <w:pPr>
        <w:spacing w:after="0" w:line="170" w:lineRule="exact"/>
        <w:rPr>
          <w:sz w:val="20"/>
          <w:szCs w:val="20"/>
          <w:color w:val="auto"/>
        </w:rPr>
      </w:pPr>
    </w:p>
    <w:p>
      <w:pPr>
        <w:ind w:right="40" w:firstLine="885"/>
        <w:spacing w:after="0" w:line="257" w:lineRule="auto"/>
        <w:tabs>
          <w:tab w:leader="none" w:pos="12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first legend referring to federal and state securities laws identified in Section 2.8(c) stamped on a certificate evidencing the Restricted Securities and the stock transfer instructions and record notations with respect to the Restricted Securities shall be removed and the Company shall issue a certificate without such legend to the holder of Restricted Securities if (i) those securities are registered under the Securities Act, or (ii) the holder provides the Company with an opinion of counsel reasonably acceptable to the Company to the effect that a sale or transfer of those securities may be made without registration or qualification.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13" w:name="page214"/>
    <w:bookmarkEnd w:id="213"/>
    <w:p>
      <w:pPr>
        <w:ind w:right="200" w:firstLine="441"/>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2.9 Rule 144 Reporting</w:t>
      </w:r>
      <w:r>
        <w:rPr>
          <w:rFonts w:ascii="Arial" w:cs="Arial" w:eastAsia="Arial" w:hAnsi="Arial"/>
          <w:sz w:val="17"/>
          <w:szCs w:val="17"/>
          <w:color w:val="auto"/>
        </w:rPr>
        <w:t>. With a view to making available the benefits of certain rules and regulations of the Commission that may permit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the Restricted Securities to the public without registration, the Company agrees to use its commercially reasonable efforts to:</w:t>
      </w:r>
    </w:p>
    <w:p>
      <w:pPr>
        <w:spacing w:after="0" w:line="142" w:lineRule="exact"/>
        <w:rPr>
          <w:sz w:val="20"/>
          <w:szCs w:val="20"/>
          <w:color w:val="auto"/>
        </w:rPr>
      </w:pPr>
    </w:p>
    <w:p>
      <w:pPr>
        <w:ind w:right="380" w:firstLine="885"/>
        <w:spacing w:after="0" w:line="264" w:lineRule="auto"/>
        <w:tabs>
          <w:tab w:leader="none" w:pos="126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and keep adequate current public information with respect to the Company available in accordance with Rule 144 under the Securities Act, at all times from and after ninety (90) days following the effective date of the first registration under the Securities Act filed by the Company for an offering of its securities to the general public;</w:t>
      </w:r>
    </w:p>
    <w:p>
      <w:pPr>
        <w:spacing w:after="0" w:line="181" w:lineRule="exact"/>
        <w:rPr>
          <w:rFonts w:ascii="Arial" w:cs="Arial" w:eastAsia="Arial" w:hAnsi="Arial"/>
          <w:sz w:val="18"/>
          <w:szCs w:val="18"/>
          <w:color w:val="auto"/>
        </w:rPr>
      </w:pPr>
    </w:p>
    <w:p>
      <w:pPr>
        <w:ind w:right="220" w:firstLine="885"/>
        <w:spacing w:after="0" w:line="277" w:lineRule="auto"/>
        <w:tabs>
          <w:tab w:leader="none" w:pos="127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Company under the Securities Act and the Exchange Act at any time after it has become subject to such reporting requirements; and</w:t>
      </w:r>
    </w:p>
    <w:p>
      <w:pPr>
        <w:spacing w:after="0" w:line="170" w:lineRule="exact"/>
        <w:rPr>
          <w:rFonts w:ascii="Arial" w:cs="Arial" w:eastAsia="Arial" w:hAnsi="Arial"/>
          <w:sz w:val="18"/>
          <w:szCs w:val="18"/>
          <w:color w:val="auto"/>
        </w:rPr>
      </w:pPr>
    </w:p>
    <w:p>
      <w:pPr>
        <w:ind w:right="160" w:firstLine="885"/>
        <w:spacing w:after="0" w:line="255" w:lineRule="auto"/>
        <w:tabs>
          <w:tab w:leader="none" w:pos="126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So long as a Holder owns any Restricted Securities, furnish to the Holder forthwith upon written request a written statement by the Company as to its compliance with the reporting requirements of Rule 144 (at any time from and after ninety (90) days following the effective date of the first registration statement filed by the Company for an offering of its securities to the general public), and of the Securities Act and the Exchange Act (at any time after it has become subject to such reporting requirements), a copy of the most recent annual or quarterly report of the Company, and such other reports and documents so filed as a Holder may reasonably request in availing itself of any rule or regulation of the Commission allowing a Holder to sell any such securities without registration.</w:t>
      </w:r>
    </w:p>
    <w:p>
      <w:pPr>
        <w:spacing w:after="0" w:line="189"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b w:val="1"/>
          <w:bCs w:val="1"/>
          <w:color w:val="auto"/>
        </w:rPr>
        <w:t xml:space="preserve">2.10 Market Stand-Off Agreement. </w:t>
      </w:r>
      <w:r>
        <w:rPr>
          <w:rFonts w:ascii="Arial" w:cs="Arial" w:eastAsia="Arial" w:hAnsi="Arial"/>
          <w:sz w:val="17"/>
          <w:szCs w:val="17"/>
          <w:color w:val="auto"/>
        </w:rPr>
        <w:t>Each Holder shall not sell or otherwise transfer, make any short sale of, grant any option for the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of, or enter into any hedging or similar transaction with the same economic effect as a sale, of any Common Stock (or other securities) of the Company held by such Holder (other than those included in the registration) during the one hundred eighty (180) day period following the effective date of a registration statement of the Company filed under the Securities Act (or such other period as may be requested by the Company or an underwriter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 provided that: all officers and directors of the Company and holders of at least one percent (1%) of the Company’s voting securities are bound by and have entered into similar agreements. Notwithstanding anything to the contrary, the obligations described in this Section 2.10 shall only apply to the Company’s Initial Public Offering and shall not apply to a registration relating solely to employee benefit plans on Form S-l or Form S-8 or similar forms that may be promulgated in the future, or a registration relating solely to a transaction on Form S-4 or similar forms that may be promulgated in the future. The Company may impose stop-transfer instructions and may stamp each such certificate with the second legend set forth in Section 2.8(c) with respect to the shares of Common Stock (or other securities) subject to the foregoing restriction until the end of such one hundred eighty (180) day (or other) period. Each Holder agrees to execute a market standoff agreement with said underwriters in customary form consistent with the provisions of this Section 2.10.</w:t>
      </w:r>
    </w:p>
    <w:p>
      <w:pPr>
        <w:spacing w:after="0" w:line="18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2.11 Delay of Registration. </w:t>
      </w:r>
      <w:r>
        <w:rPr>
          <w:rFonts w:ascii="Arial" w:cs="Arial" w:eastAsia="Arial" w:hAnsi="Arial"/>
          <w:sz w:val="18"/>
          <w:szCs w:val="18"/>
          <w:color w:val="auto"/>
        </w:rPr>
        <w:t>No Holder shall have any right to take any action to restrain, enjoin, or otherwise delay any registration as the result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controversy that might arise with respect to the interpretation or implementation of this Section 2.</w:t>
      </w:r>
    </w:p>
    <w:p>
      <w:pPr>
        <w:spacing w:after="0" w:line="162"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 xml:space="preserve">2.12 Transfer or Assignment of Registration Rights. </w:t>
      </w:r>
      <w:r>
        <w:rPr>
          <w:rFonts w:ascii="Arial" w:cs="Arial" w:eastAsia="Arial" w:hAnsi="Arial"/>
          <w:sz w:val="18"/>
          <w:szCs w:val="18"/>
          <w:color w:val="auto"/>
        </w:rPr>
        <w:t>The rights to cause the Company to register securities granted to a Holder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this Section 2 may be transferred or assigned by a Holder only to (x) a transferee or assignee of not less than 500,000 shares of Registrable Securities (as presently constituted and subject to subsequent adjustments for stock splits, stock dividends, reverse stock splits, and the like) or (y) with respect to any Holder that is an investment fund, any of such Holder’s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14" w:name="page215"/>
    <w:bookmarkEnd w:id="21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affiliates or partners, members or other equity owners, or retired partners, retired members or other retired equity owners, or to the estate of any of the Holder’s partners, members or other equity owners or retired partners, retired members or other retired equity owners;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transfer or assignment of Registrable Securities is effected in accordance with the terms of Section 2.8, that certain Third Amended and Restated Right of First Refusal and Co-Sale Agreement by and among the Company and the parties thereto dated as of the date hereof, as it may be amended from time to time, and applicable securities laws, (ii) the Company is given written notice prior to said transfer or assignment, stating the name and address of the transferee or assignee and identifying the securities with respect to which such registration rights are intended to be transferred or assigned and (iii) the transferee or assignee of such rights assumes in writing the obligations of such Holder under this Agreement, including without limitation the obligations set forth in Section 2.10.</w:t>
      </w:r>
    </w:p>
    <w:p>
      <w:pPr>
        <w:spacing w:after="0" w:line="188"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b w:val="1"/>
          <w:bCs w:val="1"/>
          <w:color w:val="auto"/>
        </w:rPr>
        <w:t xml:space="preserve">2.13 Limitations on Subsequent Registration Rights. </w:t>
      </w:r>
      <w:r>
        <w:rPr>
          <w:rFonts w:ascii="Arial" w:cs="Arial" w:eastAsia="Arial" w:hAnsi="Arial"/>
          <w:sz w:val="18"/>
          <w:szCs w:val="18"/>
          <w:color w:val="auto"/>
        </w:rPr>
        <w:t>From and after the date of this Agreement, the Company shall not,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Holders holding a majority of Registrable Securities then outstanding (excluding any of such shares held by any Holders whose rights to request registration or inclusion in any registration pursuant to this Section 2 have terminated in accordance with Section 2.14), enter into any agreement with any holder or prospective holder of any securities of the Company giving such holder or prospective holder any registration rights the terms of which are senior to the registration rights granted to the Holders hereunder or would give such holder or prospective holder the right to demand registration of such holder’s securities of the Company.</w:t>
      </w:r>
    </w:p>
    <w:p>
      <w:pPr>
        <w:spacing w:after="0" w:line="188" w:lineRule="exact"/>
        <w:rPr>
          <w:sz w:val="20"/>
          <w:szCs w:val="20"/>
          <w:color w:val="auto"/>
        </w:rPr>
      </w:pPr>
    </w:p>
    <w:p>
      <w:pPr>
        <w:ind w:right="40" w:firstLine="441"/>
        <w:spacing w:after="0" w:line="274" w:lineRule="auto"/>
        <w:rPr>
          <w:sz w:val="20"/>
          <w:szCs w:val="20"/>
          <w:color w:val="auto"/>
        </w:rPr>
      </w:pPr>
      <w:r>
        <w:rPr>
          <w:rFonts w:ascii="Arial" w:cs="Arial" w:eastAsia="Arial" w:hAnsi="Arial"/>
          <w:sz w:val="17"/>
          <w:szCs w:val="17"/>
          <w:b w:val="1"/>
          <w:bCs w:val="1"/>
          <w:color w:val="auto"/>
        </w:rPr>
        <w:t xml:space="preserve">2.14 Termination of Registration Rights. </w:t>
      </w:r>
      <w:r>
        <w:rPr>
          <w:rFonts w:ascii="Arial" w:cs="Arial" w:eastAsia="Arial" w:hAnsi="Arial"/>
          <w:sz w:val="17"/>
          <w:szCs w:val="17"/>
          <w:color w:val="auto"/>
        </w:rPr>
        <w:t>The right of any Holder to request registration or inclusion in any registration pursuant to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2.1, 2.2 or 2.3 shall terminate on the earlier of (i) as to Bucantini Enterprises Limited and Puccini World Limited (together “</w:t>
      </w:r>
      <w:r>
        <w:rPr>
          <w:rFonts w:ascii="Arial" w:cs="Arial" w:eastAsia="Arial" w:hAnsi="Arial"/>
          <w:sz w:val="17"/>
          <w:szCs w:val="17"/>
          <w:b w:val="1"/>
          <w:bCs w:val="1"/>
          <w:i w:val="1"/>
          <w:iCs w:val="1"/>
          <w:color w:val="auto"/>
        </w:rPr>
        <w:t>Horizons</w:t>
      </w:r>
      <w:r>
        <w:rPr>
          <w:rFonts w:ascii="Arial" w:cs="Arial" w:eastAsia="Arial" w:hAnsi="Arial"/>
          <w:sz w:val="17"/>
          <w:szCs w:val="17"/>
          <w:color w:val="auto"/>
        </w:rPr>
        <w:t>”) such date that Horizons first ceases to be a Major Holder, (ii) as to Nantworks, LLC (“</w:t>
      </w:r>
      <w:r>
        <w:rPr>
          <w:rFonts w:ascii="Arial" w:cs="Arial" w:eastAsia="Arial" w:hAnsi="Arial"/>
          <w:sz w:val="17"/>
          <w:szCs w:val="17"/>
          <w:b w:val="1"/>
          <w:bCs w:val="1"/>
          <w:i w:val="1"/>
          <w:iCs w:val="1"/>
          <w:color w:val="auto"/>
        </w:rPr>
        <w:t>Nantworks</w:t>
      </w:r>
      <w:r>
        <w:rPr>
          <w:rFonts w:ascii="Arial" w:cs="Arial" w:eastAsia="Arial" w:hAnsi="Arial"/>
          <w:sz w:val="17"/>
          <w:szCs w:val="17"/>
          <w:color w:val="auto"/>
        </w:rPr>
        <w:t>”) such date that Nantworks first ceases to be a Major Holder, (iii) as to each Holder other than Horizons and Nantworks, such date, on or after the closing of the Company’s first registered public offering of Common Stock, on which all shares of Registrable Securities held by such Holder may immediately be sold under Rule 144 during any ninety (90) day period, and (iv) as to all Holders (including Horizons and Nantworks), five (5) years after the closing of the Initial Public Offering.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INFORMATION AND OTHER COVENANTS OF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covenants and agrees, as follows:</w:t>
      </w:r>
    </w:p>
    <w:p>
      <w:pPr>
        <w:spacing w:after="0" w:line="32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Delivery of Financial Information and Inspection Rights.</w:t>
      </w:r>
    </w:p>
    <w:p>
      <w:pPr>
        <w:spacing w:after="0" w:line="121" w:lineRule="exact"/>
        <w:rPr>
          <w:sz w:val="20"/>
          <w:szCs w:val="20"/>
          <w:color w:val="auto"/>
        </w:rPr>
      </w:pPr>
    </w:p>
    <w:p>
      <w:pPr>
        <w:ind w:right="280" w:firstLine="885"/>
        <w:spacing w:after="0" w:line="308" w:lineRule="auto"/>
        <w:tabs>
          <w:tab w:leader="none" w:pos="1261" w:val="left"/>
        </w:tabs>
        <w:numPr>
          <w:ilvl w:val="1"/>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Delivery of Financial Information. </w:t>
      </w:r>
      <w:r>
        <w:rPr>
          <w:rFonts w:ascii="Arial" w:cs="Arial" w:eastAsia="Arial" w:hAnsi="Arial"/>
          <w:sz w:val="17"/>
          <w:szCs w:val="17"/>
          <w:color w:val="auto"/>
        </w:rPr>
        <w:t>The Company (and its subsidiaries where applicable) will furnish the following reports to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Major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has not reasonably determined that such Major Holder is a competitor of the Company:</w:t>
      </w:r>
    </w:p>
    <w:p>
      <w:pPr>
        <w:spacing w:after="0" w:line="146" w:lineRule="exact"/>
        <w:rPr>
          <w:rFonts w:ascii="Arial" w:cs="Arial" w:eastAsia="Arial" w:hAnsi="Arial"/>
          <w:sz w:val="17"/>
          <w:szCs w:val="17"/>
          <w:color w:val="auto"/>
        </w:rPr>
      </w:pPr>
    </w:p>
    <w:p>
      <w:pPr>
        <w:ind w:left="1780" w:hanging="344"/>
        <w:spacing w:after="0"/>
        <w:tabs>
          <w:tab w:leader="none" w:pos="1780" w:val="left"/>
        </w:tabs>
        <w:numPr>
          <w:ilvl w:val="2"/>
          <w:numId w:val="128"/>
        </w:numPr>
        <w:rPr>
          <w:rFonts w:ascii="Arial" w:cs="Arial" w:eastAsia="Arial" w:hAnsi="Arial"/>
          <w:sz w:val="17"/>
          <w:szCs w:val="17"/>
          <w:color w:val="auto"/>
        </w:rPr>
      </w:pPr>
      <w:r>
        <w:rPr>
          <w:rFonts w:ascii="Arial" w:cs="Arial" w:eastAsia="Arial" w:hAnsi="Arial"/>
          <w:sz w:val="17"/>
          <w:szCs w:val="17"/>
          <w:color w:val="auto"/>
        </w:rPr>
        <w:t>as soon as practicable after the end of each fiscal year of the Company, and in any event within one hundred and twenty</w:t>
      </w:r>
    </w:p>
    <w:p>
      <w:pPr>
        <w:spacing w:after="0" w:line="34" w:lineRule="exact"/>
        <w:rPr>
          <w:rFonts w:ascii="Arial" w:cs="Arial" w:eastAsia="Arial" w:hAnsi="Arial"/>
          <w:sz w:val="17"/>
          <w:szCs w:val="17"/>
          <w:color w:val="auto"/>
        </w:rPr>
      </w:pPr>
    </w:p>
    <w:p>
      <w:pPr>
        <w:ind w:right="100" w:firstLine="4"/>
        <w:spacing w:after="0" w:line="253" w:lineRule="auto"/>
        <w:tabs>
          <w:tab w:leader="none" w:pos="4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days after the end of each fiscal year of the Company, a consolidated balance sheet of the Company and its subsidiaries, if any, as at the end of such fiscal year, and consolidated statements of income and cash flows of the Company and its subsidiaries, if any, for such year, prepared by the Company’s accountants in accordance with generally accepted accounting principles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xml:space="preserve">”), audited by an accounting firm approved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requirement that such financials be audited may be waived by the Board including the waiver of at least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Directors (as defined in the Restated Certificate).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15" w:name="page216"/>
    <w:bookmarkEnd w:id="215"/>
    <w:p>
      <w:pPr>
        <w:jc w:val="both"/>
        <w:ind w:right="80" w:firstLine="1436"/>
        <w:spacing w:after="0" w:line="264" w:lineRule="auto"/>
        <w:tabs>
          <w:tab w:leader="none" w:pos="1833" w:val="left"/>
        </w:tabs>
        <w:numPr>
          <w:ilvl w:val="1"/>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practicable, but in any event within forty-five (45) days after the end of each of the first three quarters of each fiscal year of the Company, an unaudited income statement, statement of cash flows and balance sheet for such fiscal quarter and as of the end of such quarter all prepared in accordance with GAAP;</w:t>
      </w:r>
    </w:p>
    <w:p>
      <w:pPr>
        <w:spacing w:after="0" w:line="181" w:lineRule="exact"/>
        <w:rPr>
          <w:rFonts w:ascii="Arial" w:cs="Arial" w:eastAsia="Arial" w:hAnsi="Arial"/>
          <w:sz w:val="18"/>
          <w:szCs w:val="18"/>
          <w:color w:val="auto"/>
        </w:rPr>
      </w:pPr>
    </w:p>
    <w:p>
      <w:pPr>
        <w:ind w:right="320" w:firstLine="1436"/>
        <w:spacing w:after="0" w:line="308" w:lineRule="auto"/>
        <w:tabs>
          <w:tab w:leader="none" w:pos="1883"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as soon as practicable, but in any event within thirty (30) days after the end of each month, monthly management financial statements, including balance sheet and income statement and business summary of the Company’s status; and</w:t>
      </w:r>
    </w:p>
    <w:p>
      <w:pPr>
        <w:spacing w:after="0" w:line="146" w:lineRule="exact"/>
        <w:rPr>
          <w:rFonts w:ascii="Arial" w:cs="Arial" w:eastAsia="Arial" w:hAnsi="Arial"/>
          <w:sz w:val="17"/>
          <w:szCs w:val="17"/>
          <w:color w:val="auto"/>
        </w:rPr>
      </w:pPr>
    </w:p>
    <w:p>
      <w:pPr>
        <w:ind w:firstLine="1436"/>
        <w:spacing w:after="0" w:line="277" w:lineRule="auto"/>
        <w:tabs>
          <w:tab w:leader="none" w:pos="187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prior to the end of each fiscal year, an annual operating plan and budget for the next fiscal year.</w:t>
      </w:r>
    </w:p>
    <w:p>
      <w:pPr>
        <w:spacing w:after="0" w:line="170" w:lineRule="exact"/>
        <w:rPr>
          <w:rFonts w:ascii="Arial" w:cs="Arial" w:eastAsia="Arial" w:hAnsi="Arial"/>
          <w:sz w:val="18"/>
          <w:szCs w:val="18"/>
          <w:color w:val="auto"/>
        </w:rPr>
      </w:pPr>
    </w:p>
    <w:p>
      <w:pPr>
        <w:ind w:right="60" w:firstLine="885"/>
        <w:spacing w:after="0" w:line="273" w:lineRule="auto"/>
        <w:tabs>
          <w:tab w:leader="none" w:pos="1271" w:val="left"/>
        </w:tabs>
        <w:numPr>
          <w:ilvl w:val="0"/>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Inspection Rights. </w:t>
      </w:r>
      <w:r>
        <w:rPr>
          <w:rFonts w:ascii="Arial" w:cs="Arial" w:eastAsia="Arial" w:hAnsi="Arial"/>
          <w:sz w:val="17"/>
          <w:szCs w:val="17"/>
          <w:color w:val="auto"/>
        </w:rPr>
        <w:t>The Company (and its subsidiaries where applicable) shall permit each Major Holder, at such Major 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expense, to inspect the Company’s properties, to examine its books of account and records and to discuss the Company’s affairs, finances and accounts with its officers, all at such reasonable times and upon reasonable advanced notice;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pursuant to this Section 3.1 to provide access to any information which it deems it reasonably considers to be a trade secret or similar confidential information (unless covered by an enforceable confidentiality agreement, in form acceptable to the Company), or the disclosure of which would adversely affect the attorney-client privilege between the Company and its counsel.</w:t>
      </w:r>
    </w:p>
    <w:p>
      <w:pPr>
        <w:spacing w:after="0" w:line="178" w:lineRule="exact"/>
        <w:rPr>
          <w:rFonts w:ascii="Arial" w:cs="Arial" w:eastAsia="Arial" w:hAnsi="Arial"/>
          <w:sz w:val="17"/>
          <w:szCs w:val="17"/>
          <w:color w:val="auto"/>
        </w:rPr>
      </w:pPr>
    </w:p>
    <w:p>
      <w:pPr>
        <w:ind w:right="20" w:firstLine="885"/>
        <w:spacing w:after="0" w:line="255" w:lineRule="auto"/>
        <w:tabs>
          <w:tab w:leader="none" w:pos="1261"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Suspension of Information Rights. </w:t>
      </w:r>
      <w:r>
        <w:rPr>
          <w:rFonts w:ascii="Arial" w:cs="Arial" w:eastAsia="Arial" w:hAnsi="Arial"/>
          <w:sz w:val="18"/>
          <w:szCs w:val="18"/>
          <w:color w:val="auto"/>
        </w:rPr>
        <w:t>Anything in this Agreement to the contrary notwithstanding, the Company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where applicable) may cease providing the information set forth in this Section 3.1 during the period starting with the date forty-five (45) days prior to the Company’s good-faith estimate of the date of filing of a registration statement for an IPO if it reasonably concludes that it must do so to comply with the SEC rules applicable to such registration statement and related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Company’s covenants under this Section 3.1 shall be reinstated as such time as the Company is no longer actively employing its commercially reasonable efforts to cause such registration statement to become effective.</w:t>
      </w:r>
    </w:p>
    <w:p>
      <w:pPr>
        <w:spacing w:after="0" w:line="189"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b w:val="1"/>
          <w:bCs w:val="1"/>
          <w:color w:val="auto"/>
        </w:rPr>
        <w:t xml:space="preserve">3.2 Confidentiality. </w:t>
      </w:r>
      <w:r>
        <w:rPr>
          <w:rFonts w:ascii="Arial" w:cs="Arial" w:eastAsia="Arial" w:hAnsi="Arial"/>
          <w:sz w:val="17"/>
          <w:szCs w:val="17"/>
          <w:color w:val="auto"/>
        </w:rPr>
        <w:t>Each Major Holder agrees that such Major Holder will keep confidential and will not disclose, divulge, or use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3.2 by such Major Holder), (b) is or has been independently developed or conceived by such Major Holder without use of the Company’s confidential information, or (c) is or has been made known or disclosed to such Major Holder by a third party without a breach of any obligation of confidentiality such third party may have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Major Holder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Major Holder, if such prospective purchaser agrees to be bound by the provisions of this Section 3.2; (iii) to any affiliate, partner, member, stockholder, or wholly owned subsidiary of such Major Holder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Major Holder informs such person that such information is confidential and directs such person to maintain the confidentiality of such information; or (iv) as may otherwise be required by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Major Holder promptly notifies the Company of such disclosure and takes reasonable steps to minimize the extent of any such required disclosure.</w:t>
      </w:r>
    </w:p>
    <w:p>
      <w:pPr>
        <w:spacing w:after="0" w:line="177" w:lineRule="exact"/>
        <w:rPr>
          <w:sz w:val="20"/>
          <w:szCs w:val="20"/>
          <w:color w:val="auto"/>
        </w:rPr>
      </w:pPr>
    </w:p>
    <w:p>
      <w:pPr>
        <w:ind w:right="500" w:firstLine="441"/>
        <w:spacing w:after="0" w:line="282" w:lineRule="auto"/>
        <w:rPr>
          <w:sz w:val="20"/>
          <w:szCs w:val="20"/>
          <w:color w:val="auto"/>
        </w:rPr>
      </w:pPr>
      <w:r>
        <w:rPr>
          <w:rFonts w:ascii="Arial" w:cs="Arial" w:eastAsia="Arial" w:hAnsi="Arial"/>
          <w:sz w:val="18"/>
          <w:szCs w:val="18"/>
          <w:b w:val="1"/>
          <w:bCs w:val="1"/>
          <w:color w:val="auto"/>
        </w:rPr>
        <w:t>3.3 Directors’ and Officers’ Insurance</w:t>
      </w:r>
      <w:r>
        <w:rPr>
          <w:rFonts w:ascii="Arial" w:cs="Arial" w:eastAsia="Arial" w:hAnsi="Arial"/>
          <w:sz w:val="18"/>
          <w:szCs w:val="18"/>
          <w:color w:val="auto"/>
        </w:rPr>
        <w:t>. The Company has as of the date hereof or shall within ninety (90) days of the date hereof use its</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obtain from financially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16" w:name="page217"/>
    <w:bookmarkEnd w:id="216"/>
    <w:p>
      <w:pPr>
        <w:jc w:val="both"/>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sound and reputable insurers directors and officers liability insurance in an amount and on terms and conditions satisfactory to the Board (including the satisfaction of a majority of the Series B, C, D Directors, as such term is defined in the Restated Certificate), but not coverage less than $1,000,000, and will use its commercially reasonable efforts to cause such insurance policy to be maintained until such time as the Board (including the satisfaction of a majority of the Series B, C, D Directors, as such term is defined in the Restated Certificate) determines that such insurance should be discontinued.</w:t>
      </w:r>
    </w:p>
    <w:p>
      <w:pPr>
        <w:spacing w:after="0" w:line="150"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b w:val="1"/>
          <w:bCs w:val="1"/>
          <w:color w:val="auto"/>
        </w:rPr>
        <w:t>3.4 No Use of Hillhouse’s Name</w:t>
      </w:r>
      <w:r>
        <w:rPr>
          <w:rFonts w:ascii="Arial" w:cs="Arial" w:eastAsia="Arial" w:hAnsi="Arial"/>
          <w:sz w:val="18"/>
          <w:szCs w:val="18"/>
          <w:color w:val="auto"/>
        </w:rPr>
        <w:t>. Without the prior written consent of Hillhouse ZM Holdings Limited (and except as may be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or regulation) neither the Company nor any other Investor shall use or reference the name “Hillhouse,” “Gaoling” or “ ” in any public announcements or statements relating to the Series C Preferred Stock or the Company.”</w:t>
      </w:r>
    </w:p>
    <w:p>
      <w:pPr>
        <w:spacing w:after="0" w:line="176"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b w:val="1"/>
          <w:bCs w:val="1"/>
          <w:color w:val="auto"/>
        </w:rPr>
        <w:t xml:space="preserve">3.5 Termination of Covenants. </w:t>
      </w:r>
      <w:r>
        <w:rPr>
          <w:rFonts w:ascii="Arial" w:cs="Arial" w:eastAsia="Arial" w:hAnsi="Arial"/>
          <w:sz w:val="18"/>
          <w:szCs w:val="18"/>
          <w:color w:val="auto"/>
        </w:rPr>
        <w:t>The covenants set forth in this Section 3 (other than Section 3.2) shall terminate and be of no further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after the closing of the Company’s Initial Public Offering.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b w:val="1"/>
          <w:bCs w:val="1"/>
          <w:color w:val="auto"/>
        </w:rPr>
        <w:t xml:space="preserve">4.1 Right of First Refusal to Major Holders. </w:t>
      </w:r>
      <w:r>
        <w:rPr>
          <w:rFonts w:ascii="Arial" w:cs="Arial" w:eastAsia="Arial" w:hAnsi="Arial"/>
          <w:sz w:val="17"/>
          <w:szCs w:val="17"/>
          <w:color w:val="auto"/>
        </w:rPr>
        <w:t>The Company hereby grants to each Major Holder the right of first refusal to purchase its 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New Securities (as defined in this Section 4.1(a)) which the Company may, from time to time, propose to sell and issue after the date of this Agreement. A Major Holder’s pro rata share, for purposes of this right of first refusal, is equal to the ratio of (x) the number of shares of Common Stock owned by such Major Holder immediately prior to the issuance of New Securities (assuming full conversion of the Shares and full conversion or exercise of all outstanding convertible securities, rights, options and warrants held by said Major Holder) to (y) the total number of shares of Common Stock owned by all Major Holders immediately prior to the issuance of New Securities (assuming full conversion of the Shares and full conversion or exercise of all outstanding convertible securities, rights, options and warrants). Each Major Holder shall have a right of over-allotment such that if any Major Holder fails to exercise its right hereunder to purchase its pro rata share of New Securities, the other Major Holders may purchase the non-purchasing Holder’s portion on a pro rata basis. This right of first refusal shall be subject to the following provisions.</w:t>
      </w:r>
    </w:p>
    <w:p>
      <w:pPr>
        <w:spacing w:after="0" w:line="178" w:lineRule="exact"/>
        <w:rPr>
          <w:sz w:val="20"/>
          <w:szCs w:val="20"/>
          <w:color w:val="auto"/>
        </w:rPr>
      </w:pPr>
    </w:p>
    <w:p>
      <w:pPr>
        <w:ind w:right="60" w:firstLine="885"/>
        <w:spacing w:after="0" w:line="286" w:lineRule="auto"/>
        <w:tabs>
          <w:tab w:leader="none" w:pos="112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Securities</w:t>
      </w:r>
      <w:r>
        <w:rPr>
          <w:rFonts w:ascii="Arial" w:cs="Arial" w:eastAsia="Arial" w:hAnsi="Arial"/>
          <w:sz w:val="17"/>
          <w:szCs w:val="17"/>
          <w:color w:val="auto"/>
        </w:rPr>
        <w:t xml:space="preserve">” shall mean any capital stock (including Common Stock and/or Preferred Stock) of the Company whether now authorized or not, and rights, convertible securities, options or warrants to purchase such capital stock, and securities of any type whatsoever that are, or may become, exercisable or convertible into capital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w:t>
      </w:r>
      <w:r>
        <w:rPr>
          <w:rFonts w:ascii="Arial" w:cs="Arial" w:eastAsia="Arial" w:hAnsi="Arial"/>
          <w:sz w:val="17"/>
          <w:szCs w:val="17"/>
          <w:b w:val="1"/>
          <w:bCs w:val="1"/>
          <w:i w:val="1"/>
          <w:iCs w:val="1"/>
          <w:color w:val="auto"/>
        </w:rPr>
        <w:t>New Securities</w:t>
      </w:r>
      <w:r>
        <w:rPr>
          <w:rFonts w:ascii="Arial" w:cs="Arial" w:eastAsia="Arial" w:hAnsi="Arial"/>
          <w:sz w:val="17"/>
          <w:szCs w:val="17"/>
          <w:color w:val="auto"/>
        </w:rPr>
        <w:t>” does not include:</w:t>
      </w:r>
    </w:p>
    <w:p>
      <w:pPr>
        <w:spacing w:after="0" w:line="165" w:lineRule="exact"/>
        <w:rPr>
          <w:rFonts w:ascii="Arial" w:cs="Arial" w:eastAsia="Arial" w:hAnsi="Arial"/>
          <w:sz w:val="17"/>
          <w:szCs w:val="17"/>
          <w:color w:val="auto"/>
        </w:rPr>
      </w:pPr>
    </w:p>
    <w:p>
      <w:pPr>
        <w:ind w:left="1780" w:hanging="344"/>
        <w:spacing w:after="0"/>
        <w:tabs>
          <w:tab w:leader="none" w:pos="17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Shares and the Conversion Stock;</w:t>
      </w:r>
    </w:p>
    <w:p>
      <w:pPr>
        <w:spacing w:after="0" w:line="225" w:lineRule="exact"/>
        <w:rPr>
          <w:rFonts w:ascii="Arial" w:cs="Arial" w:eastAsia="Arial" w:hAnsi="Arial"/>
          <w:sz w:val="18"/>
          <w:szCs w:val="18"/>
          <w:color w:val="auto"/>
        </w:rPr>
      </w:pPr>
    </w:p>
    <w:p>
      <w:pPr>
        <w:ind w:right="100" w:firstLine="1436"/>
        <w:spacing w:after="0" w:line="264" w:lineRule="auto"/>
        <w:tabs>
          <w:tab w:leader="none" w:pos="183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securities issued or issuable to officers, employees, directors, consultants, placement agents, and other service providers of the Company (or any subsidiary) pursuant to stock grants, option plans, purchase plans, agreements or other employee stock incentive programs or arrangements approved by the Board and in accordance with the terms of the Restated Certificate;</w:t>
      </w:r>
    </w:p>
    <w:p>
      <w:pPr>
        <w:spacing w:after="0" w:line="181" w:lineRule="exact"/>
        <w:rPr>
          <w:rFonts w:ascii="Arial" w:cs="Arial" w:eastAsia="Arial" w:hAnsi="Arial"/>
          <w:sz w:val="18"/>
          <w:szCs w:val="18"/>
          <w:color w:val="auto"/>
        </w:rPr>
      </w:pPr>
    </w:p>
    <w:p>
      <w:pPr>
        <w:ind w:left="1880" w:hanging="444"/>
        <w:spacing w:after="0"/>
        <w:tabs>
          <w:tab w:leader="none" w:pos="188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securities issued pursuant to the conversion or exercise of any outstanding convertible or exercisable securities as of this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17" w:name="page218"/>
    <w:bookmarkEnd w:id="217"/>
    <w:p>
      <w:pPr>
        <w:ind w:right="440" w:firstLine="1436"/>
        <w:spacing w:after="0" w:line="277" w:lineRule="auto"/>
        <w:tabs>
          <w:tab w:leader="none" w:pos="1873"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issued or issuable as a dividend or distribution on Preferred Stock of the Company or pursuant to any event for which adjustment is made pursuant to paragraph 4(e), 4(f) or 4(g) of the Restated Certificate;</w:t>
      </w:r>
    </w:p>
    <w:p>
      <w:pPr>
        <w:spacing w:after="0" w:line="170" w:lineRule="exact"/>
        <w:rPr>
          <w:rFonts w:ascii="Arial" w:cs="Arial" w:eastAsia="Arial" w:hAnsi="Arial"/>
          <w:sz w:val="18"/>
          <w:szCs w:val="18"/>
          <w:color w:val="auto"/>
        </w:rPr>
      </w:pPr>
    </w:p>
    <w:p>
      <w:pPr>
        <w:ind w:left="1820" w:hanging="384"/>
        <w:spacing w:after="0"/>
        <w:tabs>
          <w:tab w:leader="none" w:pos="182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securities offered pursuant to a bona fide, firmly underwritten public offering pursuant to a registration statement filed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ind w:right="620" w:firstLine="1436"/>
        <w:spacing w:after="0" w:line="342" w:lineRule="auto"/>
        <w:tabs>
          <w:tab w:leader="none" w:pos="187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securities issued or issuable pursuant to the acquisition of another corporation by the Company by merger, purchase of substantially all of the assets or other reorganization or to a joint venture agreement, </w:t>
      </w:r>
      <w:r>
        <w:rPr>
          <w:rFonts w:ascii="Arial" w:cs="Arial" w:eastAsia="Arial" w:hAnsi="Arial"/>
          <w:sz w:val="16"/>
          <w:szCs w:val="16"/>
          <w:i w:val="1"/>
          <w:iCs w:val="1"/>
          <w:color w:val="auto"/>
        </w:rPr>
        <w:t>provided</w:t>
      </w:r>
      <w:r>
        <w:rPr>
          <w:rFonts w:ascii="Arial" w:cs="Arial" w:eastAsia="Arial" w:hAnsi="Arial"/>
          <w:sz w:val="16"/>
          <w:szCs w:val="16"/>
          <w:color w:val="auto"/>
        </w:rPr>
        <w:t>, that such issuances are approved by the Board;</w:t>
      </w:r>
    </w:p>
    <w:p>
      <w:pPr>
        <w:spacing w:after="0" w:line="123" w:lineRule="exact"/>
        <w:rPr>
          <w:rFonts w:ascii="Arial" w:cs="Arial" w:eastAsia="Arial" w:hAnsi="Arial"/>
          <w:sz w:val="16"/>
          <w:szCs w:val="16"/>
          <w:color w:val="auto"/>
        </w:rPr>
      </w:pPr>
    </w:p>
    <w:p>
      <w:pPr>
        <w:ind w:right="100" w:firstLine="1436"/>
        <w:spacing w:after="0" w:line="342" w:lineRule="auto"/>
        <w:tabs>
          <w:tab w:leader="none" w:pos="192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securities issued or issuable to banks, equipment lessors, real property lessors, financial institutions or other persons engaged in the business of making loans pursuant to a debt financing, commercial leasing or real property leasing transaction approved by the Board;</w:t>
      </w:r>
    </w:p>
    <w:p>
      <w:pPr>
        <w:spacing w:after="0" w:line="123" w:lineRule="exact"/>
        <w:rPr>
          <w:rFonts w:ascii="Arial" w:cs="Arial" w:eastAsia="Arial" w:hAnsi="Arial"/>
          <w:sz w:val="16"/>
          <w:szCs w:val="16"/>
          <w:color w:val="auto"/>
        </w:rPr>
      </w:pPr>
    </w:p>
    <w:p>
      <w:pPr>
        <w:ind w:left="1980" w:hanging="544"/>
        <w:spacing w:after="0"/>
        <w:tabs>
          <w:tab w:leader="none" w:pos="19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securities issued or issuable in connection with any settlement of any action, suit, proceeding or litigation approved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210" w:lineRule="exact"/>
        <w:rPr>
          <w:rFonts w:ascii="Arial" w:cs="Arial" w:eastAsia="Arial" w:hAnsi="Arial"/>
          <w:sz w:val="16"/>
          <w:szCs w:val="16"/>
          <w:color w:val="auto"/>
        </w:rPr>
      </w:pPr>
    </w:p>
    <w:p>
      <w:pPr>
        <w:ind w:right="320" w:firstLine="1436"/>
        <w:spacing w:after="0" w:line="277" w:lineRule="auto"/>
        <w:tabs>
          <w:tab w:leader="none" w:pos="187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securities issued or issuable in connection with sponsored research, collaboration, technology license, development, OEM, marketing or other similar agreements or strategic partnerships approved by the Board;</w:t>
      </w:r>
    </w:p>
    <w:p>
      <w:pPr>
        <w:spacing w:after="0" w:line="170" w:lineRule="exact"/>
        <w:rPr>
          <w:rFonts w:ascii="Arial" w:cs="Arial" w:eastAsia="Arial" w:hAnsi="Arial"/>
          <w:sz w:val="18"/>
          <w:szCs w:val="18"/>
          <w:color w:val="auto"/>
        </w:rPr>
      </w:pPr>
    </w:p>
    <w:p>
      <w:pPr>
        <w:ind w:right="180" w:firstLine="1436"/>
        <w:spacing w:after="0" w:line="277" w:lineRule="auto"/>
        <w:tabs>
          <w:tab w:leader="none" w:pos="182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securities of the Company which are otherwise excluded by the affirmative vote or consent of the holders of a majority of the Preferred Stock then outstanding, voting as a separate class on an as-converted basis; and</w:t>
      </w:r>
    </w:p>
    <w:p>
      <w:pPr>
        <w:spacing w:after="0" w:line="170" w:lineRule="exact"/>
        <w:rPr>
          <w:rFonts w:ascii="Arial" w:cs="Arial" w:eastAsia="Arial" w:hAnsi="Arial"/>
          <w:sz w:val="18"/>
          <w:szCs w:val="18"/>
          <w:color w:val="auto"/>
        </w:rPr>
      </w:pPr>
    </w:p>
    <w:p>
      <w:pPr>
        <w:ind w:right="640" w:firstLine="1436"/>
        <w:spacing w:after="0" w:line="277" w:lineRule="auto"/>
        <w:tabs>
          <w:tab w:leader="none" w:pos="187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right, option or warrant to acquire any security convertible into the securities excluded from the definition of New Securities pursuant to subsections (i) through (x) above.</w:t>
      </w:r>
    </w:p>
    <w:p>
      <w:pPr>
        <w:spacing w:after="0" w:line="170" w:lineRule="exact"/>
        <w:rPr>
          <w:rFonts w:ascii="Arial" w:cs="Arial" w:eastAsia="Arial" w:hAnsi="Arial"/>
          <w:sz w:val="18"/>
          <w:szCs w:val="18"/>
          <w:color w:val="auto"/>
        </w:rPr>
      </w:pPr>
    </w:p>
    <w:p>
      <w:pPr>
        <w:ind w:right="20" w:firstLine="885"/>
        <w:spacing w:after="0" w:line="297" w:lineRule="auto"/>
        <w:tabs>
          <w:tab w:leader="none" w:pos="127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In the event the Company proposes to undertake an issuance of New Securities, it shall give each Holder written notice of its intention, describing the type of New Securities, and their price and the general terms upon which the Company proposes to issue the same. Each Holder shall have ten (10) days after any such notice is mailed or delivered to agree to purchase such 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New Securities and to indicate whether such Holder desires to exercise its over-allotment option for the price and upon the terms specified in the notice by giving written notice to the Company, in substantially the form attached as Schedule 1, and stating therein the quantity of New Securities to be purchased.</w:t>
      </w:r>
    </w:p>
    <w:p>
      <w:pPr>
        <w:spacing w:after="0" w:line="158" w:lineRule="exact"/>
        <w:rPr>
          <w:rFonts w:ascii="Arial" w:cs="Arial" w:eastAsia="Arial" w:hAnsi="Arial"/>
          <w:sz w:val="16"/>
          <w:szCs w:val="16"/>
          <w:color w:val="auto"/>
        </w:rPr>
      </w:pPr>
    </w:p>
    <w:p>
      <w:pPr>
        <w:ind w:firstLine="885"/>
        <w:spacing w:after="0" w:line="291" w:lineRule="auto"/>
        <w:tabs>
          <w:tab w:leader="none" w:pos="126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the event the Holders fail to exercise fully the right of first refusal and over-allotment rights, if any, within said ten (10) day period (the “</w:t>
      </w:r>
      <w:r>
        <w:rPr>
          <w:rFonts w:ascii="Arial" w:cs="Arial" w:eastAsia="Arial" w:hAnsi="Arial"/>
          <w:sz w:val="16"/>
          <w:szCs w:val="16"/>
          <w:b w:val="1"/>
          <w:bCs w:val="1"/>
          <w:i w:val="1"/>
          <w:iCs w:val="1"/>
          <w:color w:val="auto"/>
        </w:rPr>
        <w:t>Election Period</w:t>
      </w:r>
      <w:r>
        <w:rPr>
          <w:rFonts w:ascii="Arial" w:cs="Arial" w:eastAsia="Arial" w:hAnsi="Arial"/>
          <w:sz w:val="16"/>
          <w:szCs w:val="16"/>
          <w:color w:val="auto"/>
        </w:rPr>
        <w:t>”), the Company shall have ninety (90) days thereafter to sell or enter into an agreement (pursuant to which the sale of New Securities covered thereby shall be closed, if at all, within ninety (90) days from the date of said agreement) to sell that portion of the New Securities with respect to which the Holders’ right of first refusal option set forth in this Section 4.1 was not exercised, at a price and upon terms no more favorable to the purchasers thereof than specified in the Company’s notice to Holders delivered pursuant to Section 4.1(b). In the event the Company has not sold within such ninety (90) day period following the Election Period, or such ninety (90) day period following the date of said agreement, the Company shall not thereafter issue or sell any New Securities, without first again offering such securities to the Holders in the manner provided in this Section 4.1.</w:t>
      </w:r>
    </w:p>
    <w:p>
      <w:pPr>
        <w:spacing w:after="0" w:line="167" w:lineRule="exact"/>
        <w:rPr>
          <w:rFonts w:ascii="Arial" w:cs="Arial" w:eastAsia="Arial" w:hAnsi="Arial"/>
          <w:sz w:val="16"/>
          <w:szCs w:val="16"/>
          <w:color w:val="auto"/>
        </w:rPr>
      </w:pPr>
    </w:p>
    <w:p>
      <w:pPr>
        <w:ind w:left="1280" w:hanging="395"/>
        <w:spacing w:after="0"/>
        <w:tabs>
          <w:tab w:leader="none" w:pos="12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right of first refusal granted under this Agreement shall expire upon, and shall not be applicable to, the Company’s Initial Public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b w:val="1"/>
          <w:bCs w:val="1"/>
          <w:color w:val="auto"/>
        </w:rPr>
        <w:t xml:space="preserve">5.1 Amendment. </w:t>
      </w:r>
      <w:r>
        <w:rPr>
          <w:rFonts w:ascii="Arial" w:cs="Arial" w:eastAsia="Arial" w:hAnsi="Arial"/>
          <w:sz w:val="16"/>
          <w:szCs w:val="16"/>
          <w:color w:val="auto"/>
        </w:rPr>
        <w:t>Except as expressly provided herein, neither this Agreement nor any term hereof may be amended, waived, discharged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other than by a written instrument referencing this Agreement and signed by the Company and the Holders holding a majority of the Registrable Securities then outstanding (excluding any such shares that have been sold to the public or pursuant to Rule 144 and any of such shares held by any Holders whose rights to request registration or inclusion in any registration pursuant to Section 2 have terminated in accordance with</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Holders purchasing shares of Series D Preferred in an Additional Closing (as defined in the Purchase Agreement) may become parties to this Agreement, by executing a counterpart of this Agreement and adding such person’s or entity’s name to the appropriate exhibit to this Agreement without any amendment of this Agreement pursuant to this paragraph or any consent or approval of any other Holder;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any amendment or waiver of this Agreement which, on its face (without reference to any information outside the terms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adversely changes the express rights of a specific Investor, which rights are not applicable to all Investors or to all Major Investors generally, shall not be effective against the adversely affected Investor without that Investor’s written consent (provided, that, for clarity, the amendment of this Agreement to make Investors that purchase new or additional shares of preferred stock of the Company (including shares of a new series of preferred stock that are senior to or pari passu with any existing series of preferred stock of the Company) parties to this Agreement or to add such new or additional shares to this Agreement as “Shares” or “Registrable Securities” shall not be an amendment that adversely changes the express rights of a specific Investor under this Agreement, and in such cases no consent of any Investor shall be required under this proviso clause). Notwithstanding anything to the contrary in this Section 5.1, any such amendment, waiver, discharge or termination that, on its face (without reference to any information outside the terms of this Agreement), adversely changes the express rights of Founder under this Agreement in a manner that is different from the corresponding effect, if any, on any other Holder, shall not be effective without the written consent of Founder. Any amendment, waiver, discharge or termination effected in accordance with this paragraph shall be binding upon each Holder and each future holder of all such securities of Holder.</w:t>
      </w:r>
    </w:p>
    <w:p>
      <w:pPr>
        <w:spacing w:after="0" w:line="164"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 xml:space="preserve">5.2 Notices. </w:t>
      </w:r>
      <w:r>
        <w:rPr>
          <w:rFonts w:ascii="Arial" w:cs="Arial" w:eastAsia="Arial" w:hAnsi="Arial"/>
          <w:sz w:val="18"/>
          <w:szCs w:val="18"/>
          <w:color w:val="auto"/>
        </w:rPr>
        <w:t>All notices and other communications required or permitted hereunder shall be in writing and shall be mailed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postage prepaid, sent by facsimile or electronic mail (if to an Investor or Holder) or otherwise delivered by hand, messenger or courier service addressed:</w:t>
      </w:r>
    </w:p>
    <w:p>
      <w:pPr>
        <w:spacing w:after="0" w:line="180" w:lineRule="exact"/>
        <w:rPr>
          <w:sz w:val="20"/>
          <w:szCs w:val="20"/>
          <w:color w:val="auto"/>
        </w:rPr>
      </w:pPr>
    </w:p>
    <w:p>
      <w:pPr>
        <w:ind w:right="100" w:firstLine="885"/>
        <w:spacing w:after="0" w:line="277" w:lineRule="auto"/>
        <w:tabs>
          <w:tab w:leader="none" w:pos="126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to an Investor, to the Investor’s address, facsimile number or electronic mail address as shown in the Company’s records, as may be updated in accordance with the provisions hereof;</w:t>
      </w:r>
    </w:p>
    <w:p>
      <w:pPr>
        <w:spacing w:after="0" w:line="170" w:lineRule="exact"/>
        <w:rPr>
          <w:rFonts w:ascii="Arial" w:cs="Arial" w:eastAsia="Arial" w:hAnsi="Arial"/>
          <w:sz w:val="18"/>
          <w:szCs w:val="18"/>
          <w:color w:val="auto"/>
        </w:rPr>
      </w:pPr>
    </w:p>
    <w:p>
      <w:pPr>
        <w:ind w:right="220" w:firstLine="885"/>
        <w:spacing w:after="0" w:line="264" w:lineRule="auto"/>
        <w:tabs>
          <w:tab w:leader="none" w:pos="127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to any Holder, to such address, facsimile number or electronic mail address as shown in the Company’s records, or, until any such Holder so furnishes an address, facsimile number or electronic mail address to the Company, then to the address of the last holder of such shares for which the Company has contact information in its records; or</w:t>
      </w:r>
    </w:p>
    <w:p>
      <w:pPr>
        <w:spacing w:after="0" w:line="181" w:lineRule="exact"/>
        <w:rPr>
          <w:rFonts w:ascii="Arial" w:cs="Arial" w:eastAsia="Arial" w:hAnsi="Arial"/>
          <w:sz w:val="18"/>
          <w:szCs w:val="18"/>
          <w:color w:val="auto"/>
        </w:rPr>
      </w:pPr>
    </w:p>
    <w:p>
      <w:pPr>
        <w:ind w:right="80" w:firstLine="885"/>
        <w:spacing w:after="0" w:line="259" w:lineRule="auto"/>
        <w:tabs>
          <w:tab w:leader="none" w:pos="126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to the Company, to the attention of the Chief Executive Officer of the Company at 4633 Old Ironsides Drive, Suite 478, Santa Clara CA 95054, or at such other current address as the Company shall have furnished to the Investors or Holders, with a copy (which shall not constitute notice) to Brian Patterson, c/o Gunderson Dettmer Stough Villeneuve Franklin &amp; Hachigian, LLP, One Bush Street, Suite 1200 San Francisco, CA 94104.</w:t>
      </w:r>
    </w:p>
    <w:p>
      <w:pPr>
        <w:spacing w:after="0" w:line="18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Each such notice or other communication shall for all purposes of this Agreement be treated as effective or having been given (i) if delivered by hand, messenger or courier service, when delivered (or 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19" w:name="page220"/>
    <w:bookmarkEnd w:id="21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when directed to the relevant electronic mail address, if sent during normal business hours of the recipient, or if not sent during normal business hours of the recipient, then on the recipient’s next business day.</w:t>
      </w:r>
    </w:p>
    <w:p>
      <w:pPr>
        <w:spacing w:after="0" w:line="188"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Subject to the limitations set forth in Delaware General Corporation Law §232(e), each Investor and Holder consents to the delivery of any notice to stockholders given by the Company under the Delaware General Corporation Law or the Company’s certificate of incorporation or bylaws by</w:t>
      </w:r>
    </w:p>
    <w:p>
      <w:pPr>
        <w:ind w:right="80" w:firstLine="4"/>
        <w:spacing w:after="0" w:line="252" w:lineRule="auto"/>
        <w:tabs>
          <w:tab w:leader="none" w:pos="2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facsimile telecommunication to the facsimile number set forth on Exhibit A (or to any other facsimile number for the Investor or Holder in the Company’s records), (ii) electronic mail to the electronic mail address set forth on Exhibit A (or to any other electronic mail address for the Investor or Holder in the Company’s records), (iii) posting on an electronic network together with separate notice to the Investor or Holder of such specific posting or (iv) any other form of electronic transmission (as defined in the Delaware General Corporation Law) directed to the Investor or Holder. This consent may be revoked by an Investor or Holder by written notice to the Company and may be deemed revoked in the circumstances specified in Delaware General Corporation Law §232.</w:t>
      </w:r>
    </w:p>
    <w:p>
      <w:pPr>
        <w:spacing w:after="0" w:line="190" w:lineRule="exact"/>
        <w:rPr>
          <w:sz w:val="20"/>
          <w:szCs w:val="20"/>
          <w:color w:val="auto"/>
        </w:rPr>
      </w:pPr>
    </w:p>
    <w:p>
      <w:pPr>
        <w:ind w:right="220" w:firstLine="441"/>
        <w:spacing w:after="0" w:line="313" w:lineRule="auto"/>
        <w:rPr>
          <w:sz w:val="20"/>
          <w:szCs w:val="20"/>
          <w:color w:val="auto"/>
        </w:rPr>
      </w:pPr>
      <w:r>
        <w:rPr>
          <w:rFonts w:ascii="Arial" w:cs="Arial" w:eastAsia="Arial" w:hAnsi="Arial"/>
          <w:sz w:val="17"/>
          <w:szCs w:val="17"/>
          <w:b w:val="1"/>
          <w:bCs w:val="1"/>
          <w:color w:val="auto"/>
        </w:rPr>
        <w:t xml:space="preserve">5.3 Governing Law. </w:t>
      </w:r>
      <w:r>
        <w:rPr>
          <w:rFonts w:ascii="Arial" w:cs="Arial" w:eastAsia="Arial" w:hAnsi="Arial"/>
          <w:sz w:val="17"/>
          <w:szCs w:val="17"/>
          <w:color w:val="auto"/>
        </w:rPr>
        <w:t>This Agreement shall be governed in all respects by the internal laws of the State of California as applied to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among California residents to be performed entirely within California, without regard to principles of conflicts of law.</w:t>
      </w:r>
    </w:p>
    <w:p>
      <w:pPr>
        <w:spacing w:after="0" w:line="138"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b w:val="1"/>
          <w:bCs w:val="1"/>
          <w:color w:val="auto"/>
        </w:rPr>
        <w:t xml:space="preserve">5.4 Successors and Assigns. </w:t>
      </w:r>
      <w:r>
        <w:rPr>
          <w:rFonts w:ascii="Arial" w:cs="Arial" w:eastAsia="Arial" w:hAnsi="Arial"/>
          <w:sz w:val="18"/>
          <w:szCs w:val="18"/>
          <w:color w:val="auto"/>
        </w:rPr>
        <w:t>Except as otherwise set forth herein, this Agreement, and any and all rights, duties and obligations 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assigned, transferred, delegated or sublicensed by any Investor without the prior written consent of the Company. Any attempt by an Investor without such permission, if such permission is required and not subject to an exception provided for elsewhere herein, to assign, transfer, delegate or sublicense any rights, duties or obligations that arise under this Agreement shall be void. Subject to the foregoing and except as otherwise provided herein, the provisions of this Agreement shall inure to the benefit of, and be binding upon, the successors, assigns, heirs, executors and administrators of the parties hereto.</w:t>
      </w:r>
    </w:p>
    <w:p>
      <w:pPr>
        <w:spacing w:after="0" w:line="188" w:lineRule="exact"/>
        <w:rPr>
          <w:sz w:val="20"/>
          <w:szCs w:val="20"/>
          <w:color w:val="auto"/>
        </w:rPr>
      </w:pPr>
    </w:p>
    <w:p>
      <w:pPr>
        <w:ind w:firstLine="441"/>
        <w:spacing w:after="0" w:line="281" w:lineRule="auto"/>
        <w:rPr>
          <w:sz w:val="20"/>
          <w:szCs w:val="20"/>
          <w:color w:val="auto"/>
        </w:rPr>
      </w:pPr>
      <w:r>
        <w:rPr>
          <w:rFonts w:ascii="Arial" w:cs="Arial" w:eastAsia="Arial" w:hAnsi="Arial"/>
          <w:sz w:val="17"/>
          <w:szCs w:val="17"/>
          <w:b w:val="1"/>
          <w:bCs w:val="1"/>
          <w:color w:val="auto"/>
        </w:rPr>
        <w:t xml:space="preserve">5.5 Entire Agreement. </w:t>
      </w:r>
      <w:r>
        <w:rPr>
          <w:rFonts w:ascii="Arial" w:cs="Arial" w:eastAsia="Arial" w:hAnsi="Arial"/>
          <w:sz w:val="17"/>
          <w:szCs w:val="17"/>
          <w:color w:val="auto"/>
        </w:rPr>
        <w:t>This Agreement and the exhibits hereto constitute the full and entire understanding and agreement between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regard to the subjects hereof and supersede and replace any prior agreements with respect thereto, including without limitation the Prior Agreement (which is amended and restated in its entirety by this Agreement). No party hereto shall be liable or bound to any other party in any manner with regard to the subjects hereof or thereof by any warranties, representations or covenants except as specifically set forth herein.</w:t>
      </w:r>
    </w:p>
    <w:p>
      <w:pPr>
        <w:spacing w:after="0" w:line="165"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b w:val="1"/>
          <w:bCs w:val="1"/>
          <w:color w:val="auto"/>
        </w:rPr>
        <w:t xml:space="preserve">5.6 Delays or Omissions. </w:t>
      </w:r>
      <w:r>
        <w:rPr>
          <w:rFonts w:ascii="Arial" w:cs="Arial" w:eastAsia="Arial" w:hAnsi="Arial"/>
          <w:sz w:val="17"/>
          <w:szCs w:val="17"/>
          <w:color w:val="auto"/>
        </w:rPr>
        <w:t>Except as expressly provided herein, no delay or omission to exercise any right, power or remedy accruing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this Agreement upon any breach or default of any other party under this Agreement shall impair any such right, power or remedy of such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to this Agreement, shall be cumulative and not alternative.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20" w:name="page221"/>
    <w:bookmarkEnd w:id="220"/>
    <w:p>
      <w:pPr>
        <w:ind w:right="160" w:firstLine="44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5.7 Severability. </w:t>
      </w:r>
      <w:r>
        <w:rPr>
          <w:rFonts w:ascii="Arial" w:cs="Arial" w:eastAsia="Arial" w:hAnsi="Arial"/>
          <w:sz w:val="18"/>
          <w:szCs w:val="18"/>
          <w:color w:val="auto"/>
        </w:rPr>
        <w:t>If any provision of this Agreement becomes or is declared by a court of competent jurisdiction to be illegal, unenforceable or</w:t>
      </w:r>
      <w:r>
        <w:rPr>
          <w:rFonts w:ascii="Arial" w:cs="Arial" w:eastAsia="Arial" w:hAnsi="Arial"/>
          <w:sz w:val="18"/>
          <w:szCs w:val="18"/>
          <w:b w:val="1"/>
          <w:bCs w:val="1"/>
          <w:color w:val="auto"/>
        </w:rPr>
        <w:t xml:space="preserve"> </w:t>
      </w:r>
      <w:r>
        <w:rPr>
          <w:rFonts w:ascii="Arial" w:cs="Arial" w:eastAsia="Arial" w:hAnsi="Arial"/>
          <w:sz w:val="18"/>
          <w:szCs w:val="18"/>
          <w:color w:val="auto"/>
        </w:rPr>
        <w:t>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8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b w:val="1"/>
          <w:bCs w:val="1"/>
          <w:color w:val="auto"/>
        </w:rPr>
        <w:t xml:space="preserve">5.8 Titles and Subtitles. </w:t>
      </w:r>
      <w:r>
        <w:rPr>
          <w:rFonts w:ascii="Arial" w:cs="Arial" w:eastAsia="Arial" w:hAnsi="Arial"/>
          <w:sz w:val="18"/>
          <w:szCs w:val="18"/>
          <w:color w:val="auto"/>
        </w:rPr>
        <w:t>The titles and subtitles used in this Agreement are used for convenience only and are not to be considered in construing</w:t>
      </w:r>
      <w:r>
        <w:rPr>
          <w:rFonts w:ascii="Arial" w:cs="Arial" w:eastAsia="Arial" w:hAnsi="Arial"/>
          <w:sz w:val="18"/>
          <w:szCs w:val="18"/>
          <w:b w:val="1"/>
          <w:bCs w:val="1"/>
          <w:color w:val="auto"/>
        </w:rPr>
        <w:t xml:space="preserve"> </w:t>
      </w:r>
      <w:r>
        <w:rPr>
          <w:rFonts w:ascii="Arial" w:cs="Arial" w:eastAsia="Arial" w:hAnsi="Arial"/>
          <w:sz w:val="18"/>
          <w:szCs w:val="18"/>
          <w:color w:val="auto"/>
        </w:rPr>
        <w:t>or interpreting this Agreement. All references in this Agreement to sections, paragraphs and exhibits shall, unless otherwise provided, refer to sections and paragraphs hereof and exhibits attached hereto.</w:t>
      </w:r>
    </w:p>
    <w:p>
      <w:pPr>
        <w:spacing w:after="0" w:line="176"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b w:val="1"/>
          <w:bCs w:val="1"/>
          <w:color w:val="auto"/>
        </w:rPr>
        <w:t xml:space="preserve">5.9 Counterparts. </w:t>
      </w:r>
      <w:r>
        <w:rPr>
          <w:rFonts w:ascii="Arial" w:cs="Arial" w:eastAsia="Arial" w:hAnsi="Arial"/>
          <w:sz w:val="18"/>
          <w:szCs w:val="18"/>
          <w:color w:val="auto"/>
        </w:rPr>
        <w:t>This Agreement may be executed in any number of counterparts, each of which shall be enforceable against the parties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such counterparts, and all of which together shall constitute one instrument.</w:t>
      </w:r>
    </w:p>
    <w:p>
      <w:pPr>
        <w:spacing w:after="0" w:line="162" w:lineRule="exact"/>
        <w:rPr>
          <w:sz w:val="20"/>
          <w:szCs w:val="20"/>
          <w:color w:val="auto"/>
        </w:rPr>
      </w:pPr>
    </w:p>
    <w:p>
      <w:pPr>
        <w:jc w:val="both"/>
        <w:ind w:right="100" w:firstLine="441"/>
        <w:spacing w:after="0" w:line="289" w:lineRule="auto"/>
        <w:rPr>
          <w:sz w:val="20"/>
          <w:szCs w:val="20"/>
          <w:color w:val="auto"/>
        </w:rPr>
      </w:pPr>
      <w:r>
        <w:rPr>
          <w:rFonts w:ascii="Arial" w:cs="Arial" w:eastAsia="Arial" w:hAnsi="Arial"/>
          <w:sz w:val="17"/>
          <w:szCs w:val="17"/>
          <w:b w:val="1"/>
          <w:bCs w:val="1"/>
          <w:color w:val="auto"/>
        </w:rPr>
        <w:t xml:space="preserve">5.10 Electronic Execution and Delivery. </w:t>
      </w:r>
      <w:r>
        <w:rPr>
          <w:rFonts w:ascii="Arial" w:cs="Arial" w:eastAsia="Arial" w:hAnsi="Arial"/>
          <w:sz w:val="17"/>
          <w:szCs w:val="17"/>
          <w:color w:val="auto"/>
        </w:rPr>
        <w:t>A facsimile, telecopy, PDF or other reproduction of this Agreement may be executed by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delivered by such party by electronic mail, facsimile or any similar electronic transmission device pursuant to which the signature of or on behalf of such party can be seen. Such execution and delivery shall be considered valid, binding and effective for all purposes.</w:t>
      </w:r>
    </w:p>
    <w:p>
      <w:pPr>
        <w:spacing w:after="0" w:line="158"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5.11 Jurisdiction; Venue. </w:t>
      </w:r>
      <w:r>
        <w:rPr>
          <w:rFonts w:ascii="Arial" w:cs="Arial" w:eastAsia="Arial" w:hAnsi="Arial"/>
          <w:sz w:val="18"/>
          <w:szCs w:val="18"/>
          <w:color w:val="auto"/>
        </w:rPr>
        <w:t>With respect to any disputes arising out of or related to this Agreement, the parties consent to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and venue in, the state courts in Santa Clara County in the State of California (or in the event of exclusive federal jurisdiction, the courts of the Northern District of California).</w:t>
      </w:r>
    </w:p>
    <w:p>
      <w:pPr>
        <w:spacing w:after="0" w:line="17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5.12 Further Assurances. </w:t>
      </w:r>
      <w:r>
        <w:rPr>
          <w:rFonts w:ascii="Arial" w:cs="Arial" w:eastAsia="Arial" w:hAnsi="Arial"/>
          <w:sz w:val="18"/>
          <w:szCs w:val="18"/>
          <w:color w:val="auto"/>
        </w:rPr>
        <w:t>Each party hereto agrees to execute and deliver, by the proper exercise of its corporate,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other powers, all such other and additional instruments and documents and do all such other acts and things as may be necessary to more fully effectuate this Agreement.</w:t>
      </w:r>
    </w:p>
    <w:p>
      <w:pPr>
        <w:spacing w:after="0" w:line="176" w:lineRule="exact"/>
        <w:rPr>
          <w:sz w:val="20"/>
          <w:szCs w:val="20"/>
          <w:color w:val="auto"/>
        </w:rPr>
      </w:pPr>
    </w:p>
    <w:p>
      <w:pPr>
        <w:ind w:right="240" w:firstLine="441"/>
        <w:spacing w:after="0" w:line="266" w:lineRule="auto"/>
        <w:rPr>
          <w:sz w:val="20"/>
          <w:szCs w:val="20"/>
          <w:color w:val="auto"/>
        </w:rPr>
      </w:pPr>
      <w:r>
        <w:rPr>
          <w:rFonts w:ascii="Arial" w:cs="Arial" w:eastAsia="Arial" w:hAnsi="Arial"/>
          <w:sz w:val="18"/>
          <w:szCs w:val="18"/>
          <w:b w:val="1"/>
          <w:bCs w:val="1"/>
          <w:color w:val="auto"/>
        </w:rPr>
        <w:t xml:space="preserve">5.13 Termination Upon Change of Control. </w:t>
      </w:r>
      <w:r>
        <w:rPr>
          <w:rFonts w:ascii="Arial" w:cs="Arial" w:eastAsia="Arial" w:hAnsi="Arial"/>
          <w:sz w:val="18"/>
          <w:szCs w:val="18"/>
          <w:color w:val="auto"/>
        </w:rPr>
        <w:t>Notwithstanding anything to the contrary herein, this Agreement (excluding any then-existing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shall terminate upon the closing of a Liquidation Event (as defined in the Company’s Restated Certificate) or a liquidation, dissolution or winding up on the Company.</w:t>
      </w:r>
    </w:p>
    <w:p>
      <w:pPr>
        <w:spacing w:after="0" w:line="176"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 xml:space="preserve">5.14 Conflict. </w:t>
      </w:r>
      <w:r>
        <w:rPr>
          <w:rFonts w:ascii="Arial" w:cs="Arial" w:eastAsia="Arial" w:hAnsi="Arial"/>
          <w:sz w:val="18"/>
          <w:szCs w:val="18"/>
          <w:color w:val="auto"/>
        </w:rPr>
        <w:t>In the event of any conflict between the terms of this Agreement and the Company’s certificate of incorporation or its bylaws,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Company’s certificate of incorporation or its bylaws, as the case may be, will control.</w:t>
      </w:r>
    </w:p>
    <w:p>
      <w:pPr>
        <w:spacing w:after="0" w:line="162"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 xml:space="preserve">5.15 Attorneys’ Fees. </w:t>
      </w:r>
      <w:r>
        <w:rPr>
          <w:rFonts w:ascii="Arial" w:cs="Arial" w:eastAsia="Arial" w:hAnsi="Arial"/>
          <w:sz w:val="18"/>
          <w:szCs w:val="18"/>
          <w:color w:val="auto"/>
        </w:rPr>
        <w:t>In the event that any suit or action is instituted to enforce any provision in this Agreement, the prevailing party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80"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b w:val="1"/>
          <w:bCs w:val="1"/>
          <w:color w:val="auto"/>
        </w:rPr>
        <w:t xml:space="preserve">5.16 Aggregation of Stock. </w:t>
      </w:r>
      <w:r>
        <w:rPr>
          <w:rFonts w:ascii="Arial" w:cs="Arial" w:eastAsia="Arial" w:hAnsi="Arial"/>
          <w:sz w:val="18"/>
          <w:szCs w:val="18"/>
          <w:color w:val="auto"/>
        </w:rPr>
        <w:t>All securities held or acquired by affiliated entities (including affiliated venture capital funds) or persons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aggregated together for purposes of determining the availability of any rights under this Agreement. For further clarity, Bucantini Enterprises Limited and Puccini World Limited shall be deemed affiliates of one another for purposes of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221" w:name="page222"/>
    <w:bookmarkEnd w:id="221"/>
    <w:p>
      <w:pPr>
        <w:ind w:firstLine="441"/>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5.17 Jury Trial. </w:t>
      </w:r>
      <w:r>
        <w:rPr>
          <w:rFonts w:ascii="Arial" w:cs="Arial" w:eastAsia="Arial" w:hAnsi="Arial"/>
          <w:sz w:val="17"/>
          <w:szCs w:val="17"/>
          <w:color w:val="auto"/>
        </w:rPr>
        <w:t>EACH OF THE PARTIES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ANY AND ALL RIGHT TO TRIAL BY JURY IN ANY LEGAL PROCEEDING (WHETHER SOUNDING IN CONTRACT, TORT OR OTHERWISE) ARISING OUT OF OR RELATED TO THIS AGREEMENT. If the waiver of jury trial set forth in this section is not enforceable, then any claim or cause of action arising out of or relating to this Agreement shall be settled by judicial reference pursuant to California Code of Civil Procedure Section 638 et seq. before a referee sitting without a jury, such referee to be mutually acceptable to the parties or, if no agreement is reached, by a referee appointed by the Presiding Judge of the California Superior Court for Santa Clara County. This paragraph shall not restrict a party from exercising remedies under the Uniform Commercial Code or from exercising pre-judgment remedies under applicable law.</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40" w:top="270" w:right="55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Eric S. Yuan</w:t>
      </w:r>
    </w:p>
    <w:p>
      <w:pPr>
        <w:spacing w:after="0" w:line="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7"/>
          <w:szCs w:val="17"/>
          <w:color w:val="auto"/>
        </w:rPr>
        <w:t>Title:</w:t>
        <w:tab/>
        <w:t>President and Chief Executive Officer</w:t>
      </w:r>
    </w:p>
    <w:p>
      <w:pPr>
        <w:spacing w:after="0" w:line="155" w:lineRule="exact"/>
        <w:rPr>
          <w:sz w:val="20"/>
          <w:szCs w:val="20"/>
          <w:color w:val="auto"/>
        </w:rPr>
      </w:pPr>
    </w:p>
    <w:p>
      <w:pPr>
        <w:ind w:left="940"/>
        <w:spacing w:after="0"/>
        <w:rPr>
          <w:sz w:val="20"/>
          <w:szCs w:val="20"/>
          <w:color w:val="auto"/>
        </w:rPr>
      </w:pPr>
      <w:r>
        <w:rPr>
          <w:rFonts w:ascii="Arial" w:cs="Arial" w:eastAsia="Arial" w:hAnsi="Arial"/>
          <w:sz w:val="16"/>
          <w:szCs w:val="16"/>
          <w:b w:val="1"/>
          <w:bCs w:val="1"/>
          <w:i w:val="1"/>
          <w:iCs w:val="1"/>
          <w:color w:val="auto"/>
        </w:rPr>
        <w:t>[Zoom Video Communications, Inc. Third Amended and Restated Investors’ Rights Agreement Signature Page]</w:t>
      </w:r>
    </w:p>
    <w:p>
      <w:pPr>
        <w:sectPr>
          <w:pgSz w:w="11900" w:h="16838" w:orient="portrait"/>
          <w:cols w:equalWidth="0" w:num="1">
            <w:col w:w="9640"/>
          </w:cols>
          <w:pgMar w:left="880" w:top="274" w:right="1379" w:bottom="1440" w:gutter="0" w:footer="0" w:header="0"/>
        </w:sectPr>
      </w:pPr>
    </w:p>
    <w:bookmarkStart w:id="223" w:name="page224"/>
    <w:bookmarkEnd w:id="22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FOUNDER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i w:val="1"/>
          <w:iCs w:val="1"/>
          <w:color w:val="auto"/>
        </w:rPr>
        <w:t>(Print name of Founder)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186690</wp:posOffset>
            </wp:positionV>
            <wp:extent cx="27959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194945</wp:posOffset>
            </wp:positionV>
            <wp:extent cx="27959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7"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83"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24" w:name="page225"/>
    <w:bookmarkEnd w:id="2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AME Cloud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Greg Hardester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Greg Hardester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25" w:name="page226"/>
    <w:bookmarkEnd w:id="2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Bucantini Enterprises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26" w:name="page227"/>
    <w:bookmarkEnd w:id="22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Digital Mobile Venture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Samuel T.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Samuel T.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27" w:name="page228"/>
    <w:bookmarkEnd w:id="22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Yi-Chun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Yi-Chun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186690</wp:posOffset>
            </wp:positionV>
            <wp:extent cx="27959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194945</wp:posOffset>
            </wp:positionV>
            <wp:extent cx="279590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7"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83"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28" w:name="page229"/>
    <w:bookmarkEnd w:id="2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Yi-Ting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Yi-Ting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3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6"/>
          <w:szCs w:val="16"/>
          <w:b w:val="1"/>
          <w:bCs w:val="1"/>
          <w:i w:val="1"/>
          <w:iCs w:val="1"/>
          <w:color w:val="auto"/>
        </w:rPr>
        <w:t>[Zoom Video Communications, Inc. Third Amended and Restated Investors’ Rights Agreement Signature Page]</w:t>
      </w:r>
    </w:p>
    <w:p>
      <w:pPr>
        <w:sectPr>
          <w:pgSz w:w="11900" w:h="16838" w:orient="portrait"/>
          <w:cols w:equalWidth="0" w:num="1">
            <w:col w:w="9880"/>
          </w:cols>
          <w:pgMar w:left="880" w:top="274" w:right="1139" w:bottom="1440" w:gutter="0" w:footer="0" w:header="0"/>
        </w:sectPr>
      </w:pPr>
    </w:p>
    <w:bookmarkStart w:id="229" w:name="page230"/>
    <w:bookmarkEnd w:id="2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 &amp; Zoë Scheinman Trust Dated 2/23/01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9960"/>
          </w:cols>
          <w:pgMar w:left="880" w:top="274" w:right="1059" w:bottom="1440" w:gutter="0" w:footer="0" w:header="0"/>
        </w:sectPr>
      </w:pPr>
    </w:p>
    <w:bookmarkStart w:id="230" w:name="page231"/>
    <w:bookmarkEnd w:id="23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EMERGENCE CAPITAL PARTNERS III,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Equity Partners III, L.P.,</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GP Partners LLC,</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Santiago Subotovsky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Santiago Subotovsky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600"/>
          </w:cols>
          <w:pgMar w:left="880" w:top="274" w:right="419"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EMERGENCE CAPITAL PARTNERS III</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OPPORTUNITY, L.P.</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Equity Partners III, L.P.,</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GP Partners, LLC,</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Santiago Subotovsky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Santiago Subotovsky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600"/>
          </w:cols>
          <w:pgMar w:left="880" w:top="274" w:right="419" w:bottom="1440" w:gutter="0" w:footer="0" w:header="0"/>
        </w:sectPr>
      </w:pPr>
    </w:p>
    <w:bookmarkStart w:id="232" w:name="page233"/>
    <w:bookmarkEnd w:id="2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Hillhouse ZM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060"/>
          </w:cols>
          <w:pgMar w:left="880" w:top="274" w:right="959" w:bottom="1440" w:gutter="0" w:footer="0" w:header="0"/>
        </w:sectPr>
      </w:pPr>
    </w:p>
    <w:bookmarkStart w:id="233" w:name="page234"/>
    <w:bookmarkEnd w:id="2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Puccini World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Ng Ngar Bun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Ng Ngar Bun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060"/>
          </w:cols>
          <w:pgMar w:left="880" w:top="274" w:right="959" w:bottom="1440" w:gutter="0" w:footer="0" w:header="0"/>
        </w:sectPr>
      </w:pPr>
    </w:p>
    <w:bookmarkStart w:id="234" w:name="page235"/>
    <w:bookmarkEnd w:id="2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QUALCOMM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VP &amp;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060"/>
          </w:cols>
          <w:pgMar w:left="880" w:top="274" w:right="959" w:bottom="1440" w:gutter="0" w:footer="0" w:header="0"/>
        </w:sectPr>
      </w:pPr>
    </w:p>
    <w:bookmarkStart w:id="235" w:name="page236"/>
    <w:bookmarkEnd w:id="2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Qualcomm Global Trading Pte.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(Singapore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5715</wp:posOffset>
            </wp:positionV>
            <wp:extent cx="279590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9960"/>
          </w:cols>
          <w:pgMar w:left="880" w:top="274" w:right="1059" w:bottom="1440" w:gutter="0" w:footer="0" w:header="0"/>
        </w:sectPr>
      </w:pPr>
    </w:p>
    <w:bookmarkStart w:id="236" w:name="page237"/>
    <w:bookmarkEnd w:id="2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U.S. GROWTH FUND VII,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U.S. GROWTH VII PRINCIPALS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FUND,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Each a Cayman Islands exempted limited partnership</w:t>
      </w:r>
    </w:p>
    <w:p>
      <w:pPr>
        <w:spacing w:after="0" w:line="211"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U.S. GROWTH VII MANAGEMENT, L.P.,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General Partner of Each</w:t>
      </w:r>
    </w:p>
    <w:p>
      <w:pPr>
        <w:spacing w:after="0" w:line="224"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US (TTGP),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 Cayman Islands exempted company, its General Partner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Pat 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Pat Grady</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560"/>
          </w:cols>
          <w:pgMar w:left="880" w:top="274" w:right="459" w:bottom="1440" w:gutter="0" w:footer="0" w:header="0"/>
        </w:sectPr>
      </w:pPr>
    </w:p>
    <w:bookmarkStart w:id="237" w:name="page238"/>
    <w:bookmarkEnd w:id="23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GLOBAL</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GROWTH FUND II,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GLOBAL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GROWTH II PRINCIPALS FUND,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Each a Cayman Islands exempted limited partnership</w:t>
      </w:r>
    </w:p>
    <w:p>
      <w:pPr>
        <w:spacing w:after="0" w:line="222"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GLOBAL GROWTH II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MANAGEMENT,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US (TTGP),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 Cayman Islands exempted company, its General Partner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Doug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Doug Leone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340"/>
          </w:cols>
          <w:pgMar w:left="880" w:top="274" w:right="679" w:bottom="1440" w:gutter="0" w:footer="0" w:header="0"/>
        </w:sectPr>
      </w:pPr>
    </w:p>
    <w:bookmarkStart w:id="238" w:name="page239"/>
    <w:bookmarkEnd w:id="2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Changbin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Changbin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SF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40" w:name="page241"/>
    <w:bookmarkEnd w:id="2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SF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INVESTORS</w:t>
      </w:r>
    </w:p>
    <w:p>
      <w:pPr>
        <w:spacing w:after="0" w:line="25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Digital Mobile Venture Ltd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Yi-Chun Chen</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Yi-Ting Chen</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Farzad Nazem &amp; Noosheen Hashemi</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Living Trust Dated 07/10/95</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QUALCOMM Incorporated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The Vandana Shah and Praful Shah</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Revocable Living Trust</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Kailua Venture Group LLC</w:t>
      </w:r>
    </w:p>
    <w:p>
      <w:pPr>
        <w:sectPr>
          <w:pgSz w:w="11900" w:h="16838" w:orient="portrait"/>
          <w:cols w:equalWidth="0" w:num="1">
            <w:col w:w="9019"/>
          </w:cols>
          <w:pgMar w:left="1440" w:top="270" w:right="1440" w:bottom="1440" w:gutter="0" w:footer="0" w:header="0"/>
        </w:sectPr>
      </w:pPr>
    </w:p>
    <w:bookmarkStart w:id="242" w:name="page243"/>
    <w:bookmarkEnd w:id="242"/>
    <w:p>
      <w:pPr>
        <w:ind w:left="4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AME Cloud Ventures, LLC</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The Eternal Bliss Limited Partnership</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IT-Farm Nozomi Investment Limited</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Partnership</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Dan &amp; Zoë Scheinman Trust Dated 2/23/01</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Changbin Wang</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Gary Griffiths</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Yuqing Xu</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Haiping Jin</w:t>
      </w:r>
    </w:p>
    <w:p>
      <w:pPr>
        <w:sectPr>
          <w:pgSz w:w="11900" w:h="16838" w:orient="portrait"/>
          <w:cols w:equalWidth="0" w:num="1">
            <w:col w:w="9019"/>
          </w:cols>
          <w:pgMar w:left="1440" w:top="270" w:right="1440" w:bottom="1440" w:gutter="0" w:footer="0" w:header="0"/>
        </w:sectPr>
      </w:pPr>
    </w:p>
    <w:bookmarkStart w:id="243" w:name="page244"/>
    <w:bookmarkEnd w:id="243"/>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Three Kingdoms Capital Partners, L.P.</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The Subrah S. Iyar 2012 GRAT #3</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Steven Li</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Velchamy Sankarlingam</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WS Investment Company, LLC (2011A)</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William P. Tai</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The Michael and Martha Everett Living</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Trust</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JV Trust dtd 9/27/2002</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HE Venture Capital Fund, LP</w:t>
      </w:r>
    </w:p>
    <w:p>
      <w:pPr>
        <w:sectPr>
          <w:pgSz w:w="11900" w:h="16838" w:orient="portrait"/>
          <w:cols w:equalWidth="0" w:num="1">
            <w:col w:w="9019"/>
          </w:cols>
          <w:pgMar w:left="1440" w:top="270" w:right="1440" w:bottom="1440" w:gutter="0" w:footer="0" w:header="0"/>
        </w:sectPr>
      </w:pPr>
    </w:p>
    <w:bookmarkStart w:id="244" w:name="page245"/>
    <w:bookmarkEnd w:id="244"/>
    <w:p>
      <w:pPr>
        <w:ind w:left="4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TEEC Angel Fund, LP</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Steven Sun</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Heil 1998 Revocable Trust</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Zhang/Gao Family Trust, 3/28/2000</w:t>
      </w:r>
    </w:p>
    <w:p>
      <w:pPr>
        <w:sectPr>
          <w:pgSz w:w="11900" w:h="16838" w:orient="portrait"/>
          <w:cols w:equalWidth="0" w:num="1">
            <w:col w:w="9019"/>
          </w:cols>
          <w:pgMar w:left="1440" w:top="270" w:right="1440"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INVESTORS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Bucantini Enterprises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Puccini World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AME Cloud Ventures, LLC</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Three Kingdoms Capital Partners, L.P.</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Harbor Pacific Capital Partners I, LP</w:t>
      </w:r>
    </w:p>
    <w:p>
      <w:pPr>
        <w:spacing w:after="0" w:line="2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Digital Mobile Venture Ltd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Nantworks, LLC</w:t>
      </w:r>
    </w:p>
    <w:p>
      <w:pPr>
        <w:sectPr>
          <w:pgSz w:w="11900" w:h="16838" w:orient="portrait"/>
          <w:cols w:equalWidth="0" w:num="1">
            <w:col w:w="9019"/>
          </w:cols>
          <w:pgMar w:left="1440" w:top="270"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INVESTORS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Emergence Capital Partners III, L.P.</w:t>
      </w:r>
    </w:p>
    <w:p>
      <w:pPr>
        <w:spacing w:after="0" w:line="2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Hillhouse ZM Holdings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Bucantini Enterprises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Puccini World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AME Cloud Ventures, LLC</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Bart Swanson</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Harbor Pacific Capital Partners I, LP</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Nantworks, LLC</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QUALCOMM Incorporated</w:t>
      </w:r>
    </w:p>
    <w:p>
      <w:pPr>
        <w:sectPr>
          <w:pgSz w:w="11900" w:h="16838" w:orient="portrait"/>
          <w:cols w:equalWidth="0" w:num="1">
            <w:col w:w="9019"/>
          </w:cols>
          <w:pgMar w:left="1440" w:top="270" w:right="1440" w:bottom="1440" w:gutter="0" w:footer="0" w:header="0"/>
        </w:sectPr>
      </w:pPr>
    </w:p>
    <w:bookmarkStart w:id="247" w:name="page248"/>
    <w:bookmarkEnd w:id="2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- 4</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SERIES D INVESTORS</w:t>
      </w:r>
    </w:p>
    <w:p>
      <w:pPr>
        <w:spacing w:after="0" w:line="25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Sequoia Capital U.S. Growth Fund VII, L.P</w:t>
      </w:r>
      <w:r>
        <w:rPr>
          <w:rFonts w:ascii="Arial" w:cs="Arial" w:eastAsia="Arial" w:hAnsi="Arial"/>
          <w:sz w:val="18"/>
          <w:szCs w:val="18"/>
          <w:color w:val="auto"/>
        </w:rPr>
        <w:t>.</w:t>
      </w:r>
    </w:p>
    <w:p>
      <w:pPr>
        <w:spacing w:after="0" w:line="239"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auto"/>
        </w:rPr>
        <w:t>Sequoia Capital U.S. Growth VII Principals Fund, L.P.</w:t>
      </w:r>
    </w:p>
    <w:p>
      <w:pPr>
        <w:spacing w:after="0" w:line="25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Sequoia Capital Global Growth Fund II, L.P.</w:t>
      </w:r>
    </w:p>
    <w:p>
      <w:pPr>
        <w:spacing w:after="0" w:line="239"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Sequoia Capital Global Growth II Principals Fund, L.P</w:t>
      </w:r>
      <w:r>
        <w:rPr>
          <w:rFonts w:ascii="Arial" w:cs="Arial" w:eastAsia="Arial" w:hAnsi="Arial"/>
          <w:sz w:val="16"/>
          <w:szCs w:val="16"/>
          <w:color w:val="auto"/>
        </w:rPr>
        <w:t>.</w:t>
      </w:r>
    </w:p>
    <w:p>
      <w:pPr>
        <w:spacing w:after="0" w:line="26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AME Cloud Ventures, LLC</w:t>
      </w:r>
    </w:p>
    <w:p>
      <w:pPr>
        <w:sectPr>
          <w:pgSz w:w="11900" w:h="16838" w:orient="portrait"/>
          <w:cols w:equalWidth="0" w:num="1">
            <w:col w:w="9019"/>
          </w:cols>
          <w:pgMar w:left="1440" w:top="270" w:right="1440" w:bottom="1440" w:gutter="0" w:footer="0" w:header="0"/>
        </w:sectPr>
      </w:pPr>
    </w:p>
    <w:bookmarkStart w:id="248" w:name="page249"/>
    <w:bookmarkEnd w:id="248"/>
    <w:p>
      <w:pPr>
        <w:jc w:val="center"/>
        <w:ind w:righ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Emergence Capital Partners III Opportunity, L.P.</w:t>
      </w:r>
    </w:p>
    <w:p>
      <w:pPr>
        <w:spacing w:after="0" w:line="26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Hillhouse ZM Holdings Limited</w:t>
      </w:r>
    </w:p>
    <w:p>
      <w:pPr>
        <w:spacing w:after="0" w:line="23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Qualcomm Global Trading Pte. Ltd.</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(Singapore company)</w:t>
      </w:r>
    </w:p>
    <w:p>
      <w:pPr>
        <w:spacing w:after="0" w:line="22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SF Growth Fund</w:t>
      </w:r>
    </w:p>
    <w:p>
      <w:pPr>
        <w:sectPr>
          <w:pgSz w:w="11900" w:h="16838" w:orient="portrait"/>
          <w:cols w:equalWidth="0" w:num="1">
            <w:col w:w="9019"/>
          </w:cols>
          <w:pgMar w:left="1440" w:top="270" w:right="1440" w:bottom="1440" w:gutter="0" w:footer="0" w:header="0"/>
        </w:sectPr>
      </w:pPr>
    </w:p>
    <w:bookmarkStart w:id="249" w:name="page250"/>
    <w:bookmarkEnd w:id="249"/>
    <w:tbl>
      <w:tblPr>
        <w:tblLayout w:type="fixed"/>
        <w:tblInd w:w="78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5300" w:type="dxa"/>
            <w:vAlign w:val="bottom"/>
            <w:gridSpan w:val="2"/>
          </w:tcPr>
          <w:p>
            <w:pPr>
              <w:jc w:val="right"/>
              <w:ind w:right="3130"/>
              <w:spacing w:after="0"/>
              <w:rPr>
                <w:sz w:val="20"/>
                <w:szCs w:val="20"/>
                <w:color w:val="auto"/>
              </w:rPr>
            </w:pPr>
            <w:r>
              <w:rPr>
                <w:rFonts w:ascii="Arial" w:cs="Arial" w:eastAsia="Arial" w:hAnsi="Arial"/>
                <w:sz w:val="18"/>
                <w:szCs w:val="18"/>
                <w:b w:val="1"/>
                <w:bCs w:val="1"/>
                <w:color w:val="auto"/>
              </w:rPr>
              <w:t>EXHIBIT B</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5300" w:type="dxa"/>
            <w:vAlign w:val="bottom"/>
            <w:gridSpan w:val="2"/>
          </w:tcPr>
          <w:p>
            <w:pPr>
              <w:jc w:val="right"/>
              <w:ind w:right="3150"/>
              <w:spacing w:after="0"/>
              <w:rPr>
                <w:sz w:val="20"/>
                <w:szCs w:val="20"/>
                <w:color w:val="auto"/>
              </w:rPr>
            </w:pPr>
            <w:r>
              <w:rPr>
                <w:rFonts w:ascii="Arial" w:cs="Arial" w:eastAsia="Arial" w:hAnsi="Arial"/>
                <w:sz w:val="18"/>
                <w:szCs w:val="18"/>
                <w:b w:val="1"/>
                <w:bCs w:val="1"/>
                <w:color w:val="auto"/>
              </w:rPr>
              <w:t>FOUNDER</w:t>
            </w:r>
          </w:p>
        </w:tc>
        <w:tc>
          <w:tcPr>
            <w:tcW w:w="0" w:type="dxa"/>
            <w:vAlign w:val="bottom"/>
          </w:tcPr>
          <w:p>
            <w:pPr>
              <w:spacing w:after="0"/>
              <w:rPr>
                <w:sz w:val="1"/>
                <w:szCs w:val="1"/>
                <w:color w:val="auto"/>
              </w:rPr>
            </w:pPr>
          </w:p>
        </w:tc>
      </w:tr>
      <w:tr>
        <w:trPr>
          <w:trHeight w:val="392"/>
        </w:trPr>
        <w:tc>
          <w:tcPr>
            <w:tcW w:w="2120" w:type="dxa"/>
            <w:vAlign w:val="bottom"/>
            <w:vMerge w:val="restart"/>
          </w:tcPr>
          <w:p>
            <w:pPr>
              <w:spacing w:after="0"/>
              <w:rPr>
                <w:sz w:val="20"/>
                <w:szCs w:val="20"/>
                <w:color w:val="auto"/>
              </w:rPr>
            </w:pPr>
            <w:r>
              <w:rPr>
                <w:rFonts w:ascii="Arial" w:cs="Arial" w:eastAsia="Arial" w:hAnsi="Arial"/>
                <w:sz w:val="18"/>
                <w:szCs w:val="18"/>
                <w:b w:val="1"/>
                <w:bCs w:val="1"/>
                <w:color w:val="auto"/>
              </w:rPr>
              <w:t>Eric S. Yuan</w:t>
            </w:r>
          </w:p>
        </w:tc>
        <w:tc>
          <w:tcPr>
            <w:tcW w:w="53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 of Common Stock Owned</w:t>
            </w:r>
          </w:p>
        </w:tc>
        <w:tc>
          <w:tcPr>
            <w:tcW w:w="0" w:type="dxa"/>
            <w:vAlign w:val="bottom"/>
          </w:tcPr>
          <w:p>
            <w:pPr>
              <w:spacing w:after="0"/>
              <w:rPr>
                <w:sz w:val="1"/>
                <w:szCs w:val="1"/>
                <w:color w:val="auto"/>
              </w:rPr>
            </w:pPr>
          </w:p>
        </w:tc>
      </w:tr>
      <w:tr>
        <w:trPr>
          <w:trHeight w:val="224"/>
        </w:trPr>
        <w:tc>
          <w:tcPr>
            <w:tcW w:w="212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2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0" w:name="page251"/>
    <w:bookmarkEnd w:id="2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AND WAIVER/ELECTION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RIGHT OF FIRST REFUSAL</w:t>
      </w:r>
    </w:p>
    <w:p>
      <w:pPr>
        <w:spacing w:after="0" w:line="207"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b w:val="1"/>
          <w:bCs w:val="1"/>
          <w:color w:val="auto"/>
        </w:rPr>
        <w:t xml:space="preserve">I do hereby waive or exercise, as indicated below, my rights of first refusal under the Third Amended and Restated Investors’ Rights Agreement dated as of December 1, 2016 (the </w:t>
      </w:r>
      <w:r>
        <w:rPr>
          <w:rFonts w:ascii="Arial" w:cs="Arial" w:eastAsia="Arial" w:hAnsi="Arial"/>
          <w:sz w:val="18"/>
          <w:szCs w:val="18"/>
          <w:b w:val="1"/>
          <w:bCs w:val="1"/>
          <w:i w:val="1"/>
          <w:iCs w:val="1"/>
          <w:color w:val="auto"/>
        </w:rPr>
        <w:t>“Agreement”</w:t>
      </w:r>
      <w:r>
        <w:rPr>
          <w:rFonts w:ascii="Arial" w:cs="Arial" w:eastAsia="Arial" w:hAnsi="Arial"/>
          <w:sz w:val="18"/>
          <w:szCs w:val="18"/>
          <w:b w:val="1"/>
          <w:bCs w:val="1"/>
          <w:color w:val="auto"/>
        </w:rPr>
        <w:t>):</w:t>
      </w:r>
    </w:p>
    <w:p>
      <w:pPr>
        <w:spacing w:after="0" w:line="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 xml:space="preserve">Waiver of 10 days’ notice period in which to exercise right of first refusal: </w:t>
      </w:r>
      <w:r>
        <w:rPr>
          <w:rFonts w:ascii="Arial" w:cs="Arial" w:eastAsia="Arial" w:hAnsi="Arial"/>
          <w:sz w:val="16"/>
          <w:szCs w:val="16"/>
          <w:b w:val="1"/>
          <w:bCs w:val="1"/>
          <w:color w:val="auto"/>
        </w:rPr>
        <w:t>(please check only one)</w:t>
      </w:r>
    </w:p>
    <w:p>
      <w:pPr>
        <w:spacing w:after="0" w:line="131" w:lineRule="exact"/>
        <w:rPr>
          <w:sz w:val="20"/>
          <w:szCs w:val="20"/>
          <w:color w:val="auto"/>
        </w:rPr>
      </w:pPr>
    </w:p>
    <w:p>
      <w:pPr>
        <w:ind w:left="1420" w:right="300" w:hanging="538"/>
        <w:spacing w:after="0" w:line="282" w:lineRule="auto"/>
        <w:tabs>
          <w:tab w:leader="none" w:pos="11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WAIVE</w:t>
      </w:r>
      <w:r>
        <w:rPr>
          <w:rFonts w:ascii="Arial" w:cs="Arial" w:eastAsia="Arial" w:hAnsi="Arial"/>
          <w:sz w:val="18"/>
          <w:szCs w:val="18"/>
          <w:color w:val="auto"/>
        </w:rPr>
        <w:t xml:space="preserve"> in full, on behalf of all Holders, the 10-day notice period provided to exercise my right of first refusal granted under the Agreement.</w:t>
      </w:r>
    </w:p>
    <w:p>
      <w:pPr>
        <w:spacing w:after="0" w:line="67" w:lineRule="exact"/>
        <w:rPr>
          <w:sz w:val="20"/>
          <w:szCs w:val="20"/>
          <w:color w:val="auto"/>
        </w:rPr>
      </w:pPr>
    </w:p>
    <w:p>
      <w:pPr>
        <w:ind w:left="1120" w:hanging="238"/>
        <w:spacing w:after="0"/>
        <w:tabs>
          <w:tab w:leader="none" w:pos="11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DO NOT WAIVE</w:t>
      </w:r>
      <w:r>
        <w:rPr>
          <w:rFonts w:ascii="Arial" w:cs="Arial" w:eastAsia="Arial" w:hAnsi="Arial"/>
          <w:sz w:val="18"/>
          <w:szCs w:val="18"/>
          <w:color w:val="auto"/>
        </w:rPr>
        <w:t xml:space="preserve"> the notice period described above.</w:t>
      </w:r>
    </w:p>
    <w:p>
      <w:pPr>
        <w:spacing w:after="0" w:line="225" w:lineRule="exact"/>
        <w:rPr>
          <w:rFonts w:ascii="Arial" w:cs="Arial" w:eastAsia="Arial" w:hAnsi="Arial"/>
          <w:sz w:val="18"/>
          <w:szCs w:val="18"/>
          <w:color w:val="auto"/>
        </w:rPr>
      </w:pPr>
    </w:p>
    <w:p>
      <w:pPr>
        <w:ind w:left="320" w:hanging="316"/>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Issuance and Sale of New Securities: </w:t>
      </w:r>
      <w:r>
        <w:rPr>
          <w:rFonts w:ascii="Arial" w:cs="Arial" w:eastAsia="Arial" w:hAnsi="Arial"/>
          <w:sz w:val="18"/>
          <w:szCs w:val="18"/>
          <w:b w:val="1"/>
          <w:bCs w:val="1"/>
          <w:color w:val="auto"/>
        </w:rPr>
        <w:t>(please check only one)</w:t>
      </w:r>
    </w:p>
    <w:p>
      <w:pPr>
        <w:spacing w:after="0" w:line="131"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20" w:type="dxa"/>
            <w:vAlign w:val="bottom"/>
            <w:gridSpan w:val="6"/>
          </w:tcPr>
          <w:p>
            <w:pPr>
              <w:ind w:left="120"/>
              <w:spacing w:after="0"/>
              <w:rPr>
                <w:sz w:val="20"/>
                <w:szCs w:val="20"/>
                <w:color w:val="auto"/>
              </w:rPr>
            </w:pPr>
            <w:r>
              <w:rPr>
                <w:rFonts w:ascii="Arial" w:cs="Arial" w:eastAsia="Arial" w:hAnsi="Arial"/>
                <w:sz w:val="18"/>
                <w:szCs w:val="18"/>
                <w:b w:val="1"/>
                <w:bCs w:val="1"/>
                <w:color w:val="auto"/>
              </w:rPr>
              <w:t xml:space="preserve">WAIVE </w:t>
            </w:r>
            <w:r>
              <w:rPr>
                <w:rFonts w:ascii="Arial" w:cs="Arial" w:eastAsia="Arial" w:hAnsi="Arial"/>
                <w:sz w:val="18"/>
                <w:szCs w:val="18"/>
                <w:color w:val="auto"/>
              </w:rPr>
              <w:t>in full the right of first refusal granted under the Agreement with respect to the issuance of the New Securities.</w:t>
            </w:r>
          </w:p>
        </w:tc>
      </w:tr>
      <w:tr>
        <w:trPr>
          <w:trHeight w:val="323"/>
        </w:trPr>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ELECT TO PARTICIPATE </w:t>
            </w:r>
            <w:r>
              <w:rPr>
                <w:rFonts w:ascii="Arial" w:cs="Arial" w:eastAsia="Arial" w:hAnsi="Arial"/>
                <w:sz w:val="18"/>
                <w:szCs w:val="18"/>
                <w:color w:val="auto"/>
              </w:rPr>
              <w:t>in $</w:t>
            </w: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provide amount</w:t>
            </w:r>
            <w:r>
              <w:rPr>
                <w:rFonts w:ascii="Arial" w:cs="Arial" w:eastAsia="Arial" w:hAnsi="Arial"/>
                <w:sz w:val="18"/>
                <w:szCs w:val="18"/>
                <w:color w:val="auto"/>
              </w:rPr>
              <w:t>) in New Securities proposed to be issued by Zoom Video</w:t>
            </w: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40" w:type="dxa"/>
            <w:vAlign w:val="bottom"/>
            <w:gridSpan w:val="5"/>
          </w:tcPr>
          <w:p>
            <w:pPr>
              <w:ind w:left="120"/>
              <w:spacing w:after="0"/>
              <w:rPr>
                <w:sz w:val="20"/>
                <w:szCs w:val="20"/>
                <w:color w:val="auto"/>
              </w:rPr>
            </w:pPr>
            <w:r>
              <w:rPr>
                <w:rFonts w:ascii="Arial" w:cs="Arial" w:eastAsia="Arial" w:hAnsi="Arial"/>
                <w:sz w:val="18"/>
                <w:szCs w:val="18"/>
                <w:color w:val="auto"/>
                <w:w w:val="93"/>
              </w:rPr>
              <w:t xml:space="preserve">Communications, Inc., a Delaware corporation, representing LESS than my </w:t>
            </w:r>
            <w:r>
              <w:rPr>
                <w:rFonts w:ascii="Arial" w:cs="Arial" w:eastAsia="Arial" w:hAnsi="Arial"/>
                <w:sz w:val="18"/>
                <w:szCs w:val="18"/>
                <w:i w:val="1"/>
                <w:iCs w:val="1"/>
                <w:color w:val="auto"/>
                <w:w w:val="93"/>
              </w:rPr>
              <w:t>pro rata</w:t>
            </w:r>
            <w:r>
              <w:rPr>
                <w:rFonts w:ascii="Arial" w:cs="Arial" w:eastAsia="Arial" w:hAnsi="Arial"/>
                <w:sz w:val="18"/>
                <w:szCs w:val="18"/>
                <w:color w:val="auto"/>
                <w:w w:val="93"/>
              </w:rPr>
              <w:t xml:space="preserve"> portion of the aggregate of $[</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 in New</w:t>
            </w:r>
          </w:p>
        </w:tc>
      </w:tr>
      <w:tr>
        <w:trPr>
          <w:trHeight w:val="230"/>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Securities being offered in the financing.</w:t>
            </w:r>
          </w:p>
        </w:tc>
        <w:tc>
          <w:tcPr>
            <w:tcW w:w="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ELECT TO PARTICIPATE </w:t>
            </w:r>
            <w:r>
              <w:rPr>
                <w:rFonts w:ascii="Arial" w:cs="Arial" w:eastAsia="Arial" w:hAnsi="Arial"/>
                <w:sz w:val="18"/>
                <w:szCs w:val="18"/>
                <w:color w:val="auto"/>
              </w:rPr>
              <w:t>in $</w:t>
            </w: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w w:val="90"/>
              </w:rPr>
              <w:t>in New Securities proposed to be issued by Zoom Video Communications, Inc., a Delaware</w:t>
            </w:r>
          </w:p>
        </w:tc>
      </w:tr>
      <w:tr>
        <w:trPr>
          <w:trHeight w:val="230"/>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w w:val="94"/>
              </w:rPr>
              <w:t xml:space="preserve">corporation, representing my FULL </w:t>
            </w:r>
            <w:r>
              <w:rPr>
                <w:rFonts w:ascii="Arial" w:cs="Arial" w:eastAsia="Arial" w:hAnsi="Arial"/>
                <w:sz w:val="18"/>
                <w:szCs w:val="18"/>
                <w:i w:val="1"/>
                <w:iCs w:val="1"/>
                <w:color w:val="auto"/>
                <w:w w:val="94"/>
              </w:rPr>
              <w:t>pro rata</w:t>
            </w:r>
            <w:r>
              <w:rPr>
                <w:rFonts w:ascii="Arial" w:cs="Arial" w:eastAsia="Arial" w:hAnsi="Arial"/>
                <w:sz w:val="18"/>
                <w:szCs w:val="18"/>
                <w:color w:val="auto"/>
                <w:w w:val="94"/>
              </w:rPr>
              <w:t xml:space="preserve"> portion of the aggregate of $[</w:t>
            </w:r>
          </w:p>
        </w:tc>
        <w:tc>
          <w:tcPr>
            <w:tcW w:w="180" w:type="dxa"/>
            <w:vAlign w:val="bottom"/>
          </w:tcPr>
          <w:p>
            <w:pPr>
              <w:spacing w:after="0"/>
              <w:rPr>
                <w:sz w:val="20"/>
                <w:szCs w:val="20"/>
                <w:color w:val="auto"/>
              </w:rPr>
            </w:pPr>
          </w:p>
        </w:tc>
        <w:tc>
          <w:tcPr>
            <w:tcW w:w="382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 in New Securities being offered in the financing.</w:t>
            </w:r>
          </w:p>
        </w:tc>
      </w:tr>
      <w:tr>
        <w:trPr>
          <w:trHeight w:val="323"/>
        </w:trPr>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 xml:space="preserve">ELECT TO PARTICIPATE </w:t>
            </w:r>
            <w:r>
              <w:rPr>
                <w:rFonts w:ascii="Arial" w:cs="Arial" w:eastAsia="Arial" w:hAnsi="Arial"/>
                <w:sz w:val="18"/>
                <w:szCs w:val="18"/>
                <w:color w:val="auto"/>
                <w:w w:val="96"/>
              </w:rPr>
              <w:t>in my full</w:t>
            </w:r>
            <w:r>
              <w:rPr>
                <w:rFonts w:ascii="Arial" w:cs="Arial" w:eastAsia="Arial" w:hAnsi="Arial"/>
                <w:sz w:val="18"/>
                <w:szCs w:val="18"/>
                <w:b w:val="1"/>
                <w:bCs w:val="1"/>
                <w:color w:val="auto"/>
                <w:w w:val="96"/>
              </w:rPr>
              <w:t xml:space="preserve"> </w:t>
            </w:r>
            <w:r>
              <w:rPr>
                <w:rFonts w:ascii="Arial" w:cs="Arial" w:eastAsia="Arial" w:hAnsi="Arial"/>
                <w:sz w:val="18"/>
                <w:szCs w:val="18"/>
                <w:i w:val="1"/>
                <w:iCs w:val="1"/>
                <w:color w:val="auto"/>
                <w:w w:val="96"/>
              </w:rPr>
              <w:t>pro rata</w:t>
            </w: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portion of the aggregate of $</w:t>
            </w:r>
          </w:p>
        </w:tc>
        <w:tc>
          <w:tcPr>
            <w:tcW w:w="3820" w:type="dxa"/>
            <w:vAlign w:val="bottom"/>
            <w:gridSpan w:val="2"/>
          </w:tcPr>
          <w:p>
            <w:pPr>
              <w:jc w:val="right"/>
              <w:ind w:right="70"/>
              <w:spacing w:after="0"/>
              <w:rPr>
                <w:sz w:val="20"/>
                <w:szCs w:val="20"/>
                <w:color w:val="auto"/>
              </w:rPr>
            </w:pPr>
            <w:r>
              <w:rPr>
                <w:rFonts w:ascii="Arial" w:cs="Arial" w:eastAsia="Arial" w:hAnsi="Arial"/>
                <w:sz w:val="18"/>
                <w:szCs w:val="18"/>
                <w:color w:val="auto"/>
              </w:rPr>
              <w:t>in New Securities being made available in the</w:t>
            </w: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w w:val="96"/>
              </w:rPr>
              <w:t>financing AND, to the extent available, the greater of (x) an additional $</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please provide amount</w:t>
            </w:r>
            <w:r>
              <w:rPr>
                <w:rFonts w:ascii="Arial" w:cs="Arial" w:eastAsia="Arial" w:hAnsi="Arial"/>
                <w:sz w:val="18"/>
                <w:szCs w:val="18"/>
                <w:color w:val="auto"/>
                <w:w w:val="94"/>
              </w:rPr>
              <w:t xml:space="preserve">) or (y) my </w:t>
            </w:r>
            <w:r>
              <w:rPr>
                <w:rFonts w:ascii="Arial" w:cs="Arial" w:eastAsia="Arial" w:hAnsi="Arial"/>
                <w:sz w:val="18"/>
                <w:szCs w:val="18"/>
                <w:i w:val="1"/>
                <w:iCs w:val="1"/>
                <w:color w:val="auto"/>
                <w:w w:val="94"/>
              </w:rPr>
              <w:t>pro rata</w:t>
            </w:r>
            <w:r>
              <w:rPr>
                <w:rFonts w:ascii="Arial" w:cs="Arial" w:eastAsia="Arial" w:hAnsi="Arial"/>
                <w:sz w:val="18"/>
                <w:szCs w:val="18"/>
                <w:color w:val="auto"/>
                <w:w w:val="94"/>
              </w:rPr>
              <w:t xml:space="preserve"> portion of</w:t>
            </w: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20" w:type="dxa"/>
            <w:vAlign w:val="bottom"/>
            <w:gridSpan w:val="6"/>
          </w:tcPr>
          <w:p>
            <w:pPr>
              <w:ind w:left="120"/>
              <w:spacing w:after="0"/>
              <w:rPr>
                <w:sz w:val="20"/>
                <w:szCs w:val="20"/>
                <w:color w:val="auto"/>
              </w:rPr>
            </w:pPr>
            <w:r>
              <w:rPr>
                <w:rFonts w:ascii="Arial" w:cs="Arial" w:eastAsia="Arial" w:hAnsi="Arial"/>
                <w:sz w:val="18"/>
                <w:szCs w:val="18"/>
                <w:color w:val="auto"/>
                <w:w w:val="91"/>
              </w:rPr>
              <w:t>any remaining investment amount available in the event other Holders do not exercise their full rights of first refusal with respect to</w:t>
            </w:r>
          </w:p>
        </w:tc>
      </w:tr>
      <w:tr>
        <w:trPr>
          <w:trHeight w:val="230"/>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the $[</w:t>
            </w: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 in New Securities being offered in the financing.</w:t>
            </w:r>
          </w:p>
        </w:tc>
        <w:tc>
          <w:tcPr>
            <w:tcW w:w="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7720"/>
        <w:spacing w:after="0"/>
        <w:rPr>
          <w:sz w:val="20"/>
          <w:szCs w:val="20"/>
          <w:color w:val="auto"/>
        </w:rPr>
      </w:pPr>
      <w:r>
        <w:rPr>
          <w:rFonts w:ascii="Arial" w:cs="Arial" w:eastAsia="Arial" w:hAnsi="Arial"/>
          <w:sz w:val="18"/>
          <w:szCs w:val="18"/>
          <w:i w:val="1"/>
          <w:iCs w:val="1"/>
          <w:color w:val="auto"/>
        </w:rPr>
        <w:t>(Print investor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289560</wp:posOffset>
            </wp:positionV>
            <wp:extent cx="321564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289560</wp:posOffset>
            </wp:positionV>
            <wp:extent cx="321564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289560</wp:posOffset>
            </wp:positionV>
            <wp:extent cx="321564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(Print title of signatory, if signing for an entity)</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This is neither a commitment to purchase nor a commitment to issue the New Securities described above. Such issuance can only be made by way of definitive documentation related to such issuance. The company will supply you with such definitive documentation upon request or if you indicate that you would like to exercise your first offer rights in whole or in part.</w:t>
      </w:r>
    </w:p>
    <w:p>
      <w:pPr>
        <w:sectPr>
          <w:pgSz w:w="11900" w:h="16838" w:orient="portrait"/>
          <w:cols w:equalWidth="0" w:num="1">
            <w:col w:w="10980"/>
          </w:cols>
          <w:pgMar w:left="440" w:top="270" w:right="479" w:bottom="1440" w:gutter="0" w:footer="0" w:header="0"/>
        </w:sectPr>
      </w:pPr>
    </w:p>
    <w:bookmarkStart w:id="251" w:name="page252"/>
    <w:bookmarkEnd w:id="25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ZOOM VIDEO COMMUNICATIONS,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 TO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THIRD AMENDED AND RESTATED INVESTORS’ RIGHTS AGREEMENT</w:t>
      </w:r>
    </w:p>
    <w:p>
      <w:pPr>
        <w:spacing w:after="0" w:line="211" w:lineRule="exact"/>
        <w:rPr>
          <w:sz w:val="20"/>
          <w:szCs w:val="20"/>
          <w:color w:val="auto"/>
        </w:rPr>
      </w:pPr>
    </w:p>
    <w:p>
      <w:pPr>
        <w:jc w:val="both"/>
        <w:ind w:right="80" w:firstLine="441"/>
        <w:spacing w:after="0" w:line="302" w:lineRule="auto"/>
        <w:rPr>
          <w:sz w:val="20"/>
          <w:szCs w:val="20"/>
          <w:color w:val="auto"/>
        </w:rPr>
      </w:pPr>
      <w:r>
        <w:rPr>
          <w:rFonts w:ascii="Arial" w:cs="Arial" w:eastAsia="Arial" w:hAnsi="Arial"/>
          <w:sz w:val="16"/>
          <w:szCs w:val="16"/>
          <w:color w:val="auto"/>
        </w:rPr>
        <w:t>This Amendment to the Third Amended and Restated Investors’ Rights Agreement, as amended (this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is made as of April 11, 2019 by and among Zoom Video Communications,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Investors set forth on the signature pages hereto. Capitalized terms not herein defined shall have the meanings ascribed to them in the Third Amended and Restated Investors’ Rights Agreement by and among the Company, the Investors and the Founder dated as of December 1, 2016, as amended (the “</w:t>
      </w:r>
      <w:r>
        <w:rPr>
          <w:rFonts w:ascii="Arial" w:cs="Arial" w:eastAsia="Arial" w:hAnsi="Arial"/>
          <w:sz w:val="16"/>
          <w:szCs w:val="16"/>
          <w:b w:val="1"/>
          <w:bCs w:val="1"/>
          <w:i w:val="1"/>
          <w:iCs w:val="1"/>
          <w:color w:val="auto"/>
        </w:rPr>
        <w:t>Existing Rights Agreement</w:t>
      </w:r>
      <w:r>
        <w:rPr>
          <w:rFonts w:ascii="Arial" w:cs="Arial" w:eastAsia="Arial" w:hAnsi="Arial"/>
          <w:sz w:val="16"/>
          <w:szCs w:val="16"/>
          <w:color w:val="auto"/>
        </w:rPr>
        <w: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entered into that certain Common Stock Purchase Agreement, dated April 5, 2019, with Salesforce Ventures LLC,</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limited liability company (“</w:t>
      </w:r>
      <w:r>
        <w:rPr>
          <w:rFonts w:ascii="Arial" w:cs="Arial" w:eastAsia="Arial" w:hAnsi="Arial"/>
          <w:sz w:val="18"/>
          <w:szCs w:val="18"/>
          <w:b w:val="1"/>
          <w:bCs w:val="1"/>
          <w:i w:val="1"/>
          <w:iCs w:val="1"/>
          <w:color w:val="auto"/>
        </w:rPr>
        <w:t>Salesforce</w:t>
      </w:r>
      <w:r>
        <w:rPr>
          <w:rFonts w:ascii="Arial" w:cs="Arial" w:eastAsia="Arial" w:hAnsi="Arial"/>
          <w:sz w:val="18"/>
          <w:szCs w:val="18"/>
          <w:color w:val="auto"/>
        </w:rPr>
        <w:t>”), and salesforce.com, inc., a Delaware corporation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pursuant to which Salesforce will purchase shares of the Company’s Class A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immediately subsequent to the closing of the Qualified IPO (as defined in the Purchase Agreement).</w:t>
      </w:r>
    </w:p>
    <w:p>
      <w:pPr>
        <w:spacing w:after="0" w:line="180" w:lineRule="exact"/>
        <w:rPr>
          <w:sz w:val="20"/>
          <w:szCs w:val="20"/>
          <w:color w:val="auto"/>
        </w:rPr>
      </w:pPr>
    </w:p>
    <w:p>
      <w:pPr>
        <w:ind w:right="300" w:firstLine="441"/>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undersigned parties desire to amend the terms of the Existing Rights Agreement for the limited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Salesforce with certain registration rights under Section 2.2 of the Existing Rights Agreement with respect to the Shares.</w:t>
      </w:r>
    </w:p>
    <w:p>
      <w:pPr>
        <w:spacing w:after="0" w:line="138" w:lineRule="exact"/>
        <w:rPr>
          <w:sz w:val="20"/>
          <w:szCs w:val="20"/>
          <w:color w:val="auto"/>
        </w:rPr>
      </w:pPr>
    </w:p>
    <w:p>
      <w:pPr>
        <w:ind w:right="280" w:firstLine="44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5.1 of the Existing Rights Agreement, the Existing Rights Agreement may be amended only with the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Company and Holders holding a majority of the Registrable Securities then outstanding (collectively, the “</w:t>
      </w:r>
      <w:r>
        <w:rPr>
          <w:rFonts w:ascii="Arial" w:cs="Arial" w:eastAsia="Arial" w:hAnsi="Arial"/>
          <w:sz w:val="16"/>
          <w:szCs w:val="16"/>
          <w:b w:val="1"/>
          <w:bCs w:val="1"/>
          <w:i w:val="1"/>
          <w:iCs w:val="1"/>
          <w:color w:val="auto"/>
        </w:rPr>
        <w:t>Requisite Consent</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parties constitute the Requisite Consent and consent to this Amendment.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undersigned parties hereby agree as follows:</w:t>
      </w:r>
    </w:p>
    <w:p>
      <w:pPr>
        <w:spacing w:after="0" w:line="229" w:lineRule="exact"/>
        <w:rPr>
          <w:sz w:val="20"/>
          <w:szCs w:val="20"/>
          <w:color w:val="auto"/>
        </w:rPr>
      </w:pPr>
    </w:p>
    <w:p>
      <w:pPr>
        <w:ind w:firstLine="444"/>
        <w:spacing w:after="0" w:line="270" w:lineRule="auto"/>
        <w:tabs>
          <w:tab w:leader="none" w:pos="756"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Grant of Registration Rights and Assumption of Obligations Related Thereto</w:t>
      </w:r>
      <w:r>
        <w:rPr>
          <w:rFonts w:ascii="Arial" w:cs="Arial" w:eastAsia="Arial" w:hAnsi="Arial"/>
          <w:sz w:val="17"/>
          <w:szCs w:val="17"/>
          <w:color w:val="auto"/>
        </w:rPr>
        <w:t>. Upon the consummation of the transaction contemplated by the Purchase Agreement, Salesforce (i) shall become a party to the Existing Rights Agreement only with respect to the registration rights set forth in Section 2.2 of the Existing Rights Agreement (“</w:t>
      </w:r>
      <w:r>
        <w:rPr>
          <w:rFonts w:ascii="Arial" w:cs="Arial" w:eastAsia="Arial" w:hAnsi="Arial"/>
          <w:sz w:val="17"/>
          <w:szCs w:val="17"/>
          <w:b w:val="1"/>
          <w:bCs w:val="1"/>
          <w:i w:val="1"/>
          <w:iCs w:val="1"/>
          <w:color w:val="auto"/>
        </w:rPr>
        <w:t>Piggyback Registration Rights</w:t>
      </w:r>
      <w:r>
        <w:rPr>
          <w:rFonts w:ascii="Arial" w:cs="Arial" w:eastAsia="Arial" w:hAnsi="Arial"/>
          <w:sz w:val="17"/>
          <w:szCs w:val="17"/>
          <w:color w:val="auto"/>
        </w:rPr>
        <w:t>”) and the Related Provisions (as defined below) and (ii) shall be deemed a Holder (as defined in the Existing Rights Agreement) only for the purposes of Section 2.2 and the Related Provisions. In connection with the grant of such Piggyback Registration Rights, Salesforce hereby assumes the rights, obligations and restrictions on Holders as set forth in Sections 2.4 through Section 2.14 inclusive and Section 5.1 of the Existing Rights Agreement (collectively, the “</w:t>
      </w:r>
      <w:r>
        <w:rPr>
          <w:rFonts w:ascii="Arial" w:cs="Arial" w:eastAsia="Arial" w:hAnsi="Arial"/>
          <w:sz w:val="17"/>
          <w:szCs w:val="17"/>
          <w:b w:val="1"/>
          <w:bCs w:val="1"/>
          <w:i w:val="1"/>
          <w:iCs w:val="1"/>
          <w:color w:val="auto"/>
        </w:rPr>
        <w:t>Related Provisions</w:t>
      </w:r>
      <w:r>
        <w:rPr>
          <w:rFonts w:ascii="Arial" w:cs="Arial" w:eastAsia="Arial" w:hAnsi="Arial"/>
          <w:sz w:val="17"/>
          <w:szCs w:val="17"/>
          <w:color w:val="auto"/>
        </w:rPr>
        <w:t>”). With respect to the Shares purchased by Salesforce in connection with the Purchase Agreement, Salesforce shall not be deemed to possess any rights set forth in the Existing Rights Agreement (including, without limitation, any demand or Form S-3 registration rights, information rights, preemptive rights, rights of first refusal, or rights of co-sale) other than the Piggyback Registration Rights.</w:t>
      </w:r>
    </w:p>
    <w:p>
      <w:pPr>
        <w:sectPr>
          <w:pgSz w:w="11900" w:h="16838" w:orient="portrait"/>
          <w:cols w:equalWidth="0" w:num="1">
            <w:col w:w="10980"/>
          </w:cols>
          <w:pgMar w:left="440" w:top="270" w:right="479" w:bottom="1440" w:gutter="0" w:footer="0" w:header="0"/>
        </w:sectPr>
      </w:pPr>
    </w:p>
    <w:bookmarkStart w:id="252" w:name="page253"/>
    <w:bookmarkEnd w:id="252"/>
    <w:p>
      <w:pPr>
        <w:ind w:left="-20" w:right="80" w:firstLine="444"/>
        <w:spacing w:after="0" w:line="264" w:lineRule="auto"/>
        <w:tabs>
          <w:tab w:leader="none" w:pos="73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Registrable Securities</w:t>
      </w:r>
      <w:r>
        <w:rPr>
          <w:rFonts w:ascii="Arial" w:cs="Arial" w:eastAsia="Arial" w:hAnsi="Arial"/>
          <w:sz w:val="18"/>
          <w:szCs w:val="18"/>
          <w:color w:val="auto"/>
        </w:rPr>
        <w:t>. Solely for purposes of Section 2.2 of the Existing Rights Agreement and the Related Provisions, the Shares purchased by Salesforce in connection with the Purchase Agreement shall be deemed “Registrable Securities” as such term is defined in Section 1.1(q) of the Existing Rights Agreement.</w:t>
      </w:r>
    </w:p>
    <w:p>
      <w:pPr>
        <w:spacing w:after="0" w:line="181" w:lineRule="exact"/>
        <w:rPr>
          <w:rFonts w:ascii="Arial" w:cs="Arial" w:eastAsia="Arial" w:hAnsi="Arial"/>
          <w:sz w:val="18"/>
          <w:szCs w:val="18"/>
          <w:color w:val="auto"/>
        </w:rPr>
      </w:pPr>
    </w:p>
    <w:p>
      <w:pPr>
        <w:ind w:left="-20" w:right="20" w:firstLine="444"/>
        <w:spacing w:after="0" w:line="286" w:lineRule="auto"/>
        <w:tabs>
          <w:tab w:leader="none" w:pos="736"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Consent</w:t>
      </w:r>
      <w:r>
        <w:rPr>
          <w:rFonts w:ascii="Arial" w:cs="Arial" w:eastAsia="Arial" w:hAnsi="Arial"/>
          <w:sz w:val="17"/>
          <w:szCs w:val="17"/>
          <w:color w:val="auto"/>
        </w:rPr>
        <w:t>. The undersigned parties hereby consent to the addition of Salesforce as an “Investor” party to the Existing Rights Agreement, as amended, solely for the purposes set forth in this Amendment. Salesforce shall become a party to the Existing Rights Agreement, as amended, solely for the purposes set forth in this Amendment by executing and delivering a counterpart signature to this Amendment.</w:t>
      </w:r>
    </w:p>
    <w:p>
      <w:pPr>
        <w:spacing w:after="0" w:line="165" w:lineRule="exact"/>
        <w:rPr>
          <w:rFonts w:ascii="Arial" w:cs="Arial" w:eastAsia="Arial" w:hAnsi="Arial"/>
          <w:sz w:val="17"/>
          <w:szCs w:val="17"/>
          <w:color w:val="auto"/>
        </w:rPr>
      </w:pPr>
    </w:p>
    <w:p>
      <w:pPr>
        <w:ind w:left="-20" w:firstLine="444"/>
        <w:spacing w:after="0" w:line="277" w:lineRule="auto"/>
        <w:tabs>
          <w:tab w:leader="none" w:pos="73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expressly modified by this Amendment, the terms of the Existing Rights Agreement shall remain in full force and effect.</w:t>
      </w:r>
    </w:p>
    <w:p>
      <w:pPr>
        <w:spacing w:after="0" w:line="170" w:lineRule="exact"/>
        <w:rPr>
          <w:rFonts w:ascii="Arial" w:cs="Arial" w:eastAsia="Arial" w:hAnsi="Arial"/>
          <w:sz w:val="18"/>
          <w:szCs w:val="18"/>
          <w:color w:val="auto"/>
        </w:rPr>
      </w:pPr>
    </w:p>
    <w:p>
      <w:pPr>
        <w:ind w:left="-20" w:right="300" w:firstLine="444"/>
        <w:spacing w:after="0" w:line="308" w:lineRule="auto"/>
        <w:tabs>
          <w:tab w:leader="none" w:pos="736"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in all respects by the internal laws of the State of California as applied to agreements entered into among California residents to be performed entirely within California, without regard to principles of conflicts of law.</w:t>
      </w:r>
    </w:p>
    <w:p>
      <w:pPr>
        <w:spacing w:after="0" w:line="146" w:lineRule="exact"/>
        <w:rPr>
          <w:rFonts w:ascii="Arial" w:cs="Arial" w:eastAsia="Arial" w:hAnsi="Arial"/>
          <w:sz w:val="17"/>
          <w:szCs w:val="17"/>
          <w:color w:val="auto"/>
        </w:rPr>
      </w:pPr>
    </w:p>
    <w:p>
      <w:pPr>
        <w:ind w:left="-20" w:right="160" w:firstLine="444"/>
        <w:spacing w:after="0" w:line="286" w:lineRule="auto"/>
        <w:tabs>
          <w:tab w:leader="none" w:pos="736"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Amendment and the Existing Rights Agreement, and the documents referred to herein and therein and the exhibits and schedules thereto, constitute the entire agreement among the parties hereto pertaining to the subject matter hereof, and any and all other written or oral agreements relating to the subject matter hereof existing between the parties hereto are expressly canceled.</w:t>
      </w:r>
    </w:p>
    <w:p>
      <w:pPr>
        <w:spacing w:after="0" w:line="165" w:lineRule="exact"/>
        <w:rPr>
          <w:rFonts w:ascii="Arial" w:cs="Arial" w:eastAsia="Arial" w:hAnsi="Arial"/>
          <w:sz w:val="17"/>
          <w:szCs w:val="17"/>
          <w:color w:val="auto"/>
        </w:rPr>
      </w:pPr>
    </w:p>
    <w:p>
      <w:pPr>
        <w:ind w:left="-20" w:right="200" w:firstLine="444"/>
        <w:spacing w:after="0" w:line="302" w:lineRule="auto"/>
        <w:tabs>
          <w:tab w:leader="none" w:pos="736"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two or more counterparts, each of which shall be deemed an original and all of which together shall constitute one instrument. A facsimile, telecopy, PDF or other reproduction of this Amendment may be executed by one or more parties hereto and delivered by such party by electronic mail, facsimile or any similar electronic transmission device pursuant to which the signature of or on behalf of such party can be seen. Such execution and delivery shall be considered valid, binding and effective for all purposes.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980"/>
          </w:cols>
          <w:pgMar w:left="460" w:top="274" w:right="45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Amendment to the Existing Rights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Aparna Bawa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Aparna Bawa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55 Almaden Blvd #600</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San Jose, CA 95113</w:t>
      </w:r>
    </w:p>
    <w:p>
      <w:pPr>
        <w:sectPr>
          <w:pgSz w:w="11900" w:h="16838" w:orient="portrait"/>
          <w:cols w:equalWidth="0" w:num="1">
            <w:col w:w="10600"/>
          </w:cols>
          <w:pgMar w:left="880" w:top="270" w:right="419" w:bottom="1440" w:gutter="0" w:footer="0" w:header="0"/>
        </w:sectPr>
      </w:pPr>
    </w:p>
    <w:bookmarkStart w:id="254" w:name="page255"/>
    <w:bookmarkEnd w:id="25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parties have executed this Amendment to the Existing Rights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SALESFORCE VENTURES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Somorjai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John Somorjai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600"/>
          </w:cols>
          <w:pgMar w:left="880" w:top="270" w:right="419" w:bottom="1440" w:gutter="0" w:footer="0" w:header="0"/>
        </w:sectPr>
      </w:pPr>
    </w:p>
    <w:bookmarkStart w:id="255" w:name="page256"/>
    <w:bookmarkEnd w:id="25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Amendment to the Existing Rights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AME CLOUD VENTURES,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Hardester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Greg Hardester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600"/>
          </w:cols>
          <w:pgMar w:left="880" w:top="270" w:right="419" w:bottom="1440" w:gutter="0" w:footer="0" w:header="0"/>
        </w:sectPr>
      </w:pPr>
    </w:p>
    <w:bookmarkStart w:id="256" w:name="page257"/>
    <w:bookmarkEnd w:id="25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parties have executed this Amendment to the Existing Rights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BUCANTINI ENTERPRISES LIMITED</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 Yee Wan Ezra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Pau Yee Wan Ezra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600"/>
          </w:cols>
          <w:pgMar w:left="880" w:top="270" w:right="41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Amendment to the Existing Rights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DIGITAL MOBILE VENTURE LTD.</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Chen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Samuel Chen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600"/>
          </w:cols>
          <w:pgMar w:left="880" w:top="270" w:right="419" w:bottom="1440" w:gutter="0" w:footer="0" w:header="0"/>
        </w:sectPr>
      </w:pPr>
    </w:p>
    <w:bookmarkStart w:id="258" w:name="page259"/>
    <w:bookmarkEnd w:id="25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Amendment to the Existing Rights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EMERGENCE CAPITAL PARTNERS III</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OPPORTUNITY, L.P.</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Equity Partners III, L.P.,</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GP Partners, LLC,</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Santiago Subotovsky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Santiago Subotovsky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600"/>
          </w:cols>
          <w:pgMar w:left="880" w:top="270" w:right="41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parties have executed this Amendment to the Existing Rights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EZP OPPORTUNITY,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Equity Partners III, L.P.,</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GP Partners, LLC,</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Santiago Subotovsky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Santiago Subotovsky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600"/>
          </w:cols>
          <w:pgMar w:left="880" w:top="270" w:right="419"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Amendment to the Existing Rights Agreement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PUCCINI WORLD LIMITED</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Raymond Ng</w:t>
      </w:r>
    </w:p>
    <w:p>
      <w:pPr>
        <w:spacing w:after="0" w:line="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060"/>
          </w:cols>
          <w:pgMar w:left="880" w:top="270" w:right="959" w:bottom="1440" w:gutter="0" w:footer="0" w:header="0"/>
        </w:sectPr>
      </w:pPr>
    </w:p>
    <w:bookmarkStart w:id="261" w:name="page262"/>
    <w:bookmarkEnd w:id="26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Amendment to the Existing Rights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U.S. GROWTH FUND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VII,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U.S. GROWTH VII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PRINCIPALS FUND,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Each a Cayman Islands exempted limited partnership</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SC U.S. GROWTH VII MANAGEMENT, L.P.,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 Cayman Islands exempted company, its General Partner</w:t>
      </w:r>
    </w:p>
    <w:p>
      <w:pPr>
        <w:spacing w:after="0" w:line="236"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Eschenbach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Carl Eschenbach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600"/>
          </w:cols>
          <w:pgMar w:left="880" w:top="270" w:right="419" w:bottom="1440" w:gutter="0" w:footer="0" w:header="0"/>
        </w:sectPr>
      </w:pPr>
    </w:p>
    <w:bookmarkStart w:id="262" w:name="page263"/>
    <w:bookmarkEnd w:id="26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7"/>
          <w:szCs w:val="17"/>
          <w:color w:val="auto"/>
        </w:rPr>
        <w:t>, the parties have executed this Amendment to the Existing Rights Agreement as of the date first above written.</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GLOBAL</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GROWTH FUND II,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GLOBAL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GROWTH II PRINCIPALS FUND,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Each a Cayman Islands exempted limited partnership</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SC GLOBAL GROWTH II MANAGEMENT, L.P.,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 Cayman Islands exempted company, its General Partner</w:t>
      </w:r>
    </w:p>
    <w:p>
      <w:pPr>
        <w:spacing w:after="0" w:line="222"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Eschenbach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Carl Eschenbach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600"/>
          </w:cols>
          <w:pgMar w:left="880" w:top="270" w:right="41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1157605" cy="3771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11576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Jon C. Avina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+1 650 843 5307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javina@cooley.com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April 16,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You have requested our opinion, as counsel to Zoom Video Communications,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(No. 333-230444)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including a related prospectus filed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an underwritten public offering of up to 24,000,000 shares of the Company’s Class A common stock, par value $0.001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which includes (i) up to 13,041,869 Shares to be sold by the Company (including up to 3,130,435 Shares that may be sold pursuant to the exercise of an option to purchase additional shares) (collectively, the “</w:t>
      </w:r>
      <w:r>
        <w:rPr>
          <w:rFonts w:ascii="Arial" w:cs="Arial" w:eastAsia="Arial" w:hAnsi="Arial"/>
          <w:sz w:val="18"/>
          <w:szCs w:val="18"/>
          <w:b w:val="1"/>
          <w:bCs w:val="1"/>
          <w:i w:val="1"/>
          <w:iCs w:val="1"/>
          <w:color w:val="auto"/>
        </w:rPr>
        <w:t>Company Shares</w:t>
      </w:r>
      <w:r>
        <w:rPr>
          <w:rFonts w:ascii="Arial" w:cs="Arial" w:eastAsia="Arial" w:hAnsi="Arial"/>
          <w:sz w:val="18"/>
          <w:szCs w:val="18"/>
          <w:color w:val="auto"/>
        </w:rPr>
        <w:t>”) and (ii) up to 10,958,131 Shares to be sold by the selling stockholders identified in such Registration Statement (the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connection with this opinion, we have (i) examined and relied upon (a) the Registration Statement and the Prospectus, (b) the Company’s Amended and Restated Certificate of Incorporation and Amended and Restated Bylaws, each as currently in effect, (c) the forms of the Company’s Amended and Restated Certificate of Incorporation, filed as Exhibit 3.3 to the Registration Statement, and the Company’s Amended and Restated Bylaws, filed as Exhibit 3.4 to the Registration Statement, each of which is to be in effect immediately prior to the closing of the offering contemplated by the Registration Statement and (d) originals or copies certified to our satisfaction of such records, documents, certificates, memoranda and other instruments as in our judgment are necessary or appropriate to enable us to render the opinion expressed below and (ii) assumed that the Shares will be sold at a price established by the Board of Directors of the Company or a duly authorized committee thereof and that the Amended and Restated Certificate of Incorporation referred to in clause (i)(c) is adopted by the stockholders and filed with the Secretary of State of the State of Delaware before the issuance of the Shares. We have undertaken no independent verification with respect to such matters. We have assumed the genuineness and authenticity of all documents submitted to us as originals, and the conformity to originals of all documents submitted to us as copies and the due execution and delivery of all documents where due execution and delivery are a prerequisite to the effectiveness thereof. As to certain factual matters, we have relied upon a certificate of an officer of the Company and have not sought independently to verify such matters.</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the basis of the foregoing, and in reliance thereon, we are of the opinion that (i) the Company Shares, when sold and issued against payment therefor as described in the Registration Statement and the Prospectus, will be validly issued, fully paid and non-assessable and (ii) the Stockholder Shares have been validly issued and are fully paid and non-assessable, except with respect to 283,177 Stockholder Shares that are to be sold by certain selling stockholders upon the exercise of vested options, which will be validly issued, fully-paid and nonassessable upon exercise and payment in accordance with the terms of the options pursuant to which such shares are to be issued.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20"/>
          </w:cols>
          <w:pgMar w:left="440" w:top="121" w:right="4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157605" cy="3771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Jon C. Avina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+1 650 843 5307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javina@cooley.com</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 C. Avina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Jon C. Avina</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800"/>
          </w:cols>
          <w:pgMar w:left="440" w:top="976" w:right="65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1)"/>
      <w:numFmt w:val="decimal"/>
      <w:start w:val="1"/>
    </w:lvl>
  </w:abstractNum>
  <w:abstractNum w:abstractNumId="1">
    <w:nsid w:val="799D0247"/>
    <w:multiLevelType w:val="hybridMultilevel"/>
    <w:lvl w:ilvl="0">
      <w:lvlJc w:val="left"/>
      <w:lvlText w:val="(%1)"/>
      <w:numFmt w:val="decimal"/>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1)"/>
      <w:numFmt w:val="lowerRoman"/>
      <w:start w:val="3"/>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1)"/>
      <w:numFmt w:val="decimal"/>
      <w:start w:val="1"/>
    </w:lvl>
  </w:abstractNum>
  <w:abstractNum w:abstractNumId="17">
    <w:nsid w:val="1A32234B"/>
    <w:multiLevelType w:val="hybridMultilevel"/>
    <w:lvl w:ilvl="0">
      <w:lvlJc w:val="left"/>
      <w:lvlText w:val="(%1)"/>
      <w:numFmt w:val="decimal"/>
      <w:start w:val="2"/>
    </w:lvl>
  </w:abstractNum>
  <w:abstractNum w:abstractNumId="18">
    <w:nsid w:val="3B0FD379"/>
    <w:multiLevelType w:val="hybridMultilevel"/>
    <w:lvl w:ilvl="0">
      <w:lvlJc w:val="left"/>
      <w:lvlText w:val="(%1)"/>
      <w:numFmt w:val="decimal"/>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1)"/>
      <w:numFmt w:val="lowerRoman"/>
      <w:start w:val="2"/>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1)"/>
      <w:numFmt w:val="decimal"/>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1)"/>
      <w:numFmt w:val="decimal"/>
      <w:start w:val="1"/>
    </w:lvl>
  </w:abstractNum>
  <w:abstractNum w:abstractNumId="38">
    <w:nsid w:val="74DE0EE3"/>
    <w:multiLevelType w:val="hybridMultilevel"/>
    <w:lvl w:ilvl="0">
      <w:lvlJc w:val="left"/>
      <w:lvlText w:val="(%1)"/>
      <w:numFmt w:val="decimal"/>
      <w:start w:val="2"/>
    </w:lvl>
  </w:abstractNum>
  <w:abstractNum w:abstractNumId="39">
    <w:nsid w:val="68EBC550"/>
    <w:multiLevelType w:val="hybridMultilevel"/>
    <w:lvl w:ilvl="0">
      <w:lvlJc w:val="left"/>
      <w:lvlText w:val="(%1)"/>
      <w:numFmt w:val="decimal"/>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1)"/>
      <w:numFmt w:val="decimal"/>
      <w:start w:val="1"/>
    </w:lvl>
  </w:abstractNum>
  <w:abstractNum w:abstractNumId="42">
    <w:nsid w:val="4A2AC315"/>
    <w:multiLevelType w:val="hybridMultilevel"/>
    <w:lvl w:ilvl="0">
      <w:lvlJc w:val="left"/>
      <w:lvlText w:val="(%1)"/>
      <w:numFmt w:val="decimal"/>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1)"/>
      <w:numFmt w:val="decimal"/>
      <w:start w:val="1"/>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
      <w:numFmt w:val="bullet"/>
      <w:start w:val="1"/>
    </w:lvl>
  </w:abstractNum>
  <w:abstractNum w:abstractNumId="65">
    <w:nsid w:val="3FA62ACA"/>
    <w:multiLevelType w:val="hybridMultilevel"/>
    <w:lvl w:ilvl="0">
      <w:lvlJc w:val="left"/>
      <w:lvlText w:val="(%1)"/>
      <w:numFmt w:val="decimal"/>
      <w:start w:val="1"/>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1)"/>
      <w:numFmt w:val="decimal"/>
      <w:start w:val="1"/>
    </w:lvl>
  </w:abstractNum>
  <w:abstractNum w:abstractNumId="68">
    <w:nsid w:val="71C91298"/>
    <w:multiLevelType w:val="hybridMultilevel"/>
    <w:lvl w:ilvl="0">
      <w:lvlJc w:val="left"/>
      <w:lvlText w:val="(%1)"/>
      <w:numFmt w:val="decimal"/>
      <w:start w:val="1"/>
    </w:lvl>
  </w:abstractNum>
  <w:abstractNum w:abstractNumId="69">
    <w:nsid w:val="9DAF632"/>
    <w:multiLevelType w:val="hybridMultilevel"/>
    <w:lvl w:ilvl="0">
      <w:lvlJc w:val="left"/>
      <w:lvlText w:val="(%1)"/>
      <w:numFmt w:val="decimal"/>
      <w:start w:val="1"/>
    </w:lvl>
  </w:abstractNum>
  <w:abstractNum w:abstractNumId="70">
    <w:nsid w:val="53299938"/>
    <w:multiLevelType w:val="hybridMultilevel"/>
    <w:lvl w:ilvl="0">
      <w:lvlJc w:val="left"/>
      <w:lvlText w:val="(%1)"/>
      <w:numFmt w:val="decimal"/>
      <w:start w:val="6"/>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1)"/>
      <w:numFmt w:val="lowerRoman"/>
      <w:start w:val="5"/>
    </w:lvl>
  </w:abstractNum>
  <w:abstractNum w:abstractNumId="74">
    <w:nsid w:val="59ADEA3D"/>
    <w:multiLevelType w:val="hybridMultilevel"/>
    <w:lvl w:ilvl="0">
      <w:lvlJc w:val="left"/>
      <w:lvlText w:val="(%1)"/>
      <w:numFmt w:val="lowerRoman"/>
      <w:start w:val="10"/>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1)"/>
      <w:numFmt w:val="decimal"/>
      <w:start w:val="1"/>
    </w:lvl>
  </w:abstractNum>
  <w:abstractNum w:abstractNumId="78">
    <w:nsid w:val="97E1B4E"/>
    <w:multiLevelType w:val="hybridMultilevel"/>
    <w:lvl w:ilvl="0">
      <w:lvlJc w:val="left"/>
      <w:lvlText w:val="•"/>
      <w:numFmt w:val="bullet"/>
      <w:start w:val="1"/>
    </w:lvl>
  </w:abstractNum>
  <w:abstractNum w:abstractNumId="79">
    <w:nsid w:val="51088277"/>
    <w:multiLevelType w:val="hybridMultilevel"/>
    <w:lvl w:ilvl="0">
      <w:lvlJc w:val="left"/>
      <w:lvlText w:val="*"/>
      <w:numFmt w:val="bullet"/>
      <w:start w:val="1"/>
    </w:lvl>
  </w:abstractNum>
  <w:abstractNum w:abstractNumId="80">
    <w:nsid w:val="1CA0C5FA"/>
    <w:multiLevelType w:val="hybridMultilevel"/>
    <w:lvl w:ilvl="0">
      <w:lvlJc w:val="left"/>
      <w:lvlText w:val="†"/>
      <w:numFmt w:val="bullet"/>
      <w:start w:val="1"/>
    </w:lvl>
  </w:abstractNum>
  <w:abstractNum w:abstractNumId="81">
    <w:nsid w:val="53584BCB"/>
    <w:multiLevelType w:val="hybridMultilevel"/>
    <w:lvl w:ilvl="0">
      <w:lvlJc w:val="left"/>
      <w:lvlText w:val="(%1)"/>
      <w:numFmt w:val="decimal"/>
      <w:start w:val="1"/>
    </w:lvl>
  </w:abstractNum>
  <w:abstractNum w:abstractNumId="82">
    <w:nsid w:val="415E286C"/>
    <w:multiLevelType w:val="hybridMultilevel"/>
    <w:lvl w:ilvl="0">
      <w:lvlJc w:val="left"/>
      <w:lvlText w:val="(%1)"/>
      <w:numFmt w:val="decimal"/>
      <w:start w:val="3"/>
    </w:lvl>
  </w:abstractNum>
  <w:abstractNum w:abstractNumId="83">
    <w:nsid w:val="7C58FD05"/>
    <w:multiLevelType w:val="hybridMultilevel"/>
    <w:lvl w:ilvl="0">
      <w:lvlJc w:val="left"/>
      <w:lvlText w:val="(%1)"/>
      <w:numFmt w:val="decimal"/>
      <w:start w:val="9"/>
    </w:lvl>
  </w:abstractNum>
  <w:abstractNum w:abstractNumId="84">
    <w:nsid w:val="23D86AAC"/>
    <w:multiLevelType w:val="hybridMultilevel"/>
    <w:lvl w:ilvl="0">
      <w:lvlJc w:val="left"/>
      <w:lvlText w:val="•"/>
      <w:numFmt w:val="bullet"/>
      <w:start w:val="1"/>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
      <w:numFmt w:val="bullet"/>
      <w:start w:val="1"/>
    </w:lvl>
  </w:abstractNum>
  <w:abstractNum w:abstractNumId="87">
    <w:nsid w:val="E7FFA2B"/>
    <w:multiLevelType w:val="hybridMultilevel"/>
    <w:lvl w:ilvl="0">
      <w:lvlJc w:val="left"/>
      <w:lvlText w:val="•"/>
      <w:numFmt w:val="bullet"/>
      <w:start w:val="1"/>
    </w:lvl>
  </w:abstractNum>
  <w:abstractNum w:abstractNumId="88">
    <w:nsid w:val="3C5991AA"/>
    <w:multiLevelType w:val="hybridMultilevel"/>
    <w:lvl w:ilvl="0">
      <w:lvlJc w:val="left"/>
      <w:lvlText w:val="•"/>
      <w:numFmt w:val="bullet"/>
      <w:start w:val="1"/>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
      <w:numFmt w:val="bullet"/>
      <w:start w:val="1"/>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
      <w:numFmt w:val="bullet"/>
      <w:start w:val="1"/>
    </w:lvl>
  </w:abstractNum>
  <w:abstractNum w:abstractNumId="93">
    <w:nsid w:val="6C80EC70"/>
    <w:multiLevelType w:val="hybridMultilevel"/>
    <w:lvl w:ilvl="0">
      <w:lvlJc w:val="left"/>
      <w:lvlText w:val="(%1)"/>
      <w:numFmt w:val="lowerLetter"/>
      <w:start w:val="1"/>
    </w:lvl>
  </w:abstractNum>
  <w:abstractNum w:abstractNumId="94">
    <w:nsid w:val="379E21B5"/>
    <w:multiLevelType w:val="hybridMultilevel"/>
    <w:lvl w:ilvl="0">
      <w:lvlJc w:val="left"/>
      <w:lvlText w:val="(%1)"/>
      <w:numFmt w:val="lowerLetter"/>
      <w:start w:val="1"/>
    </w:lvl>
  </w:abstractNum>
  <w:abstractNum w:abstractNumId="95">
    <w:nsid w:val="69E373"/>
    <w:multiLevelType w:val="hybridMultilevel"/>
    <w:lvl w:ilvl="0">
      <w:lvlJc w:val="left"/>
      <w:lvlText w:val="%1."/>
      <w:numFmt w:val="decimal"/>
      <w:start w:val="7"/>
    </w:lvl>
  </w:abstractNum>
  <w:abstractNum w:abstractNumId="96">
    <w:nsid w:val="2C27173B"/>
    <w:multiLevelType w:val="hybridMultilevel"/>
    <w:lvl w:ilvl="0">
      <w:lvlJc w:val="left"/>
      <w:lvlText w:val="•"/>
      <w:numFmt w:val="bullet"/>
      <w:start w:val="1"/>
    </w:lvl>
  </w:abstractNum>
  <w:abstractNum w:abstractNumId="97">
    <w:nsid w:val="4C9B0904"/>
    <w:multiLevelType w:val="hybridMultilevel"/>
    <w:lvl w:ilvl="0">
      <w:lvlJc w:val="left"/>
      <w:lvlText w:val="•"/>
      <w:numFmt w:val="bullet"/>
      <w:start w:val="1"/>
    </w:lvl>
  </w:abstractNum>
  <w:abstractNum w:abstractNumId="98">
    <w:nsid w:val="6AA7B75C"/>
    <w:multiLevelType w:val="hybridMultilevel"/>
    <w:lvl w:ilvl="0">
      <w:lvlJc w:val="left"/>
      <w:lvlText w:val="(%1)"/>
      <w:numFmt w:val="decimal"/>
      <w:start w:val="1"/>
    </w:lvl>
  </w:abstractNum>
  <w:abstractNum w:abstractNumId="99">
    <w:nsid w:val="1DF029D3"/>
    <w:multiLevelType w:val="hybridMultilevel"/>
    <w:lvl w:ilvl="0">
      <w:lvlJc w:val="left"/>
      <w:lvlText w:val="(%1)"/>
      <w:numFmt w:val="decimal"/>
      <w:start w:val="2"/>
    </w:lvl>
  </w:abstractNum>
  <w:abstractNum w:abstractNumId="100">
    <w:nsid w:val="5675FF36"/>
    <w:multiLevelType w:val="hybridMultilevel"/>
    <w:lvl w:ilvl="0">
      <w:lvlJc w:val="left"/>
      <w:lvlText w:val="%1."/>
      <w:numFmt w:val="decimal"/>
      <w:start w:val="701"/>
    </w:lvl>
  </w:abstractNum>
  <w:abstractNum w:abstractNumId="101">
    <w:nsid w:val="3DD15094"/>
    <w:multiLevelType w:val="hybridMultilevel"/>
    <w:lvl w:ilvl="0">
      <w:lvlJc w:val="left"/>
      <w:lvlText w:val="#"/>
      <w:numFmt w:val="bullet"/>
      <w:start w:val="1"/>
    </w:lvl>
  </w:abstractNum>
  <w:abstractNum w:abstractNumId="102">
    <w:nsid w:val="3DB012B3"/>
    <w:multiLevelType w:val="hybridMultilevel"/>
    <w:lvl w:ilvl="0">
      <w:lvlJc w:val="left"/>
      <w:lvlText w:val="(%1)"/>
      <w:numFmt w:val="decimal"/>
      <w:start w:val="1"/>
    </w:lvl>
  </w:abstractNum>
  <w:abstractNum w:abstractNumId="103">
    <w:nsid w:val="2708C9AF"/>
    <w:multiLevelType w:val="hybridMultilevel"/>
    <w:lvl w:ilvl="0">
      <w:lvlJc w:val="left"/>
      <w:lvlText w:val="%1."/>
      <w:numFmt w:val="upperLetter"/>
      <w:start w:val="1"/>
    </w:lvl>
  </w:abstractNum>
  <w:abstractNum w:abstractNumId="104">
    <w:nsid w:val="5B25ACE2"/>
    <w:multiLevelType w:val="hybridMultilevel"/>
    <w:lvl w:ilvl="0">
      <w:lvlJc w:val="left"/>
      <w:lvlText w:val="(%1)"/>
      <w:numFmt w:val="lowerLetter"/>
      <w:start w:val="1"/>
    </w:lvl>
  </w:abstractNum>
  <w:abstractNum w:abstractNumId="105">
    <w:nsid w:val="175DFCF0"/>
    <w:multiLevelType w:val="hybridMultilevel"/>
    <w:lvl w:ilvl="0">
      <w:lvlJc w:val="left"/>
      <w:lvlText w:val="(%1)"/>
      <w:numFmt w:val="lowerLetter"/>
      <w:start w:val="4"/>
    </w:lvl>
  </w:abstractNum>
  <w:abstractNum w:abstractNumId="106">
    <w:nsid w:val="4F97E3E4"/>
    <w:multiLevelType w:val="hybridMultilevel"/>
    <w:lvl w:ilvl="0">
      <w:lvlJc w:val="left"/>
      <w:lvlText w:val="(%1)"/>
      <w:numFmt w:val="lowerLetter"/>
      <w:start w:val="17"/>
    </w:lvl>
  </w:abstractNum>
  <w:abstractNum w:abstractNumId="107">
    <w:nsid w:val="53B0A9E"/>
    <w:multiLevelType w:val="hybridMultilevel"/>
    <w:lvl w:ilvl="0">
      <w:lvlJc w:val="left"/>
      <w:lvlText w:val="(%1)"/>
      <w:numFmt w:val="lowerLetter"/>
      <w:start w:val="26"/>
    </w:lvl>
  </w:abstractNum>
  <w:abstractNum w:abstractNumId="108">
    <w:nsid w:val="34FD6B4F"/>
    <w:multiLevelType w:val="hybridMultilevel"/>
    <w:lvl w:ilvl="0">
      <w:lvlJc w:val="left"/>
      <w:lvlText w:val="(%1)"/>
      <w:numFmt w:val="lowerLetter"/>
      <w:start w:val="27"/>
    </w:lvl>
  </w:abstractNum>
  <w:abstractNum w:abstractNumId="109">
    <w:nsid w:val="5915FF32"/>
    <w:multiLevelType w:val="hybridMultilevel"/>
    <w:lvl w:ilvl="0">
      <w:lvlJc w:val="left"/>
      <w:lvlText w:val="(%1)"/>
      <w:numFmt w:val="lowerLetter"/>
      <w:start w:val="1"/>
    </w:lvl>
    <w:lvl w:ilvl="1">
      <w:lvlJc w:val="left"/>
      <w:lvlText w:val="(%2)"/>
      <w:numFmt w:val="lowerRoman"/>
      <w:start w:val="1"/>
    </w:lvl>
  </w:abstractNum>
  <w:abstractNum w:abstractNumId="110">
    <w:nsid w:val="56438D15"/>
    <w:multiLevelType w:val="hybridMultilevel"/>
    <w:lvl w:ilvl="0">
      <w:lvlJc w:val="left"/>
      <w:lvlText w:val="%1"/>
      <w:numFmt w:val="lowerLetter"/>
      <w:start w:val="1"/>
    </w:lvl>
    <w:lvl w:ilvl="1">
      <w:lvlJc w:val="left"/>
      <w:lvlText w:val="(%2)"/>
      <w:numFmt w:val="lowerRoman"/>
      <w:start w:val="4"/>
    </w:lvl>
  </w:abstractNum>
  <w:abstractNum w:abstractNumId="111">
    <w:nsid w:val="519E3149"/>
    <w:multiLevelType w:val="hybridMultilevel"/>
    <w:lvl w:ilvl="0">
      <w:lvlJc w:val="left"/>
      <w:lvlText w:val="(%1)"/>
      <w:numFmt w:val="lowerLetter"/>
      <w:start w:val="3"/>
    </w:lvl>
    <w:lvl w:ilvl="1">
      <w:lvlJc w:val="left"/>
      <w:lvlText w:val="%2"/>
      <w:numFmt w:val="lowerRoman"/>
      <w:start w:val="1"/>
    </w:lvl>
  </w:abstractNum>
  <w:abstractNum w:abstractNumId="112">
    <w:nsid w:val="2C6E4AFD"/>
    <w:multiLevelType w:val="hybridMultilevel"/>
    <w:lvl w:ilvl="0">
      <w:lvlJc w:val="left"/>
      <w:lvlText w:val="(%1)"/>
      <w:numFmt w:val="lowerLetter"/>
      <w:start w:val="1"/>
    </w:lvl>
    <w:lvl w:ilvl="1">
      <w:lvlJc w:val="left"/>
      <w:lvlText w:val="(%2)"/>
      <w:numFmt w:val="lowerRoman"/>
      <w:start w:val="1"/>
    </w:lvl>
  </w:abstractNum>
  <w:abstractNum w:abstractNumId="113">
    <w:nsid w:val="17A1B582"/>
    <w:multiLevelType w:val="hybridMultilevel"/>
    <w:lvl w:ilvl="0">
      <w:lvlJc w:val="left"/>
      <w:lvlText w:val="(%1)"/>
      <w:numFmt w:val="lowerLetter"/>
      <w:start w:val="3"/>
    </w:lvl>
  </w:abstractNum>
  <w:abstractNum w:abstractNumId="114">
    <w:nsid w:val="4DF72E4E"/>
    <w:multiLevelType w:val="hybridMultilevel"/>
    <w:lvl w:ilvl="0">
      <w:lvlJc w:val="left"/>
      <w:lvlText w:val="(%1)"/>
      <w:numFmt w:val="lowerLetter"/>
      <w:start w:val="1"/>
    </w:lvl>
  </w:abstractNum>
  <w:abstractNum w:abstractNumId="115">
    <w:nsid w:val="5046B5A9"/>
    <w:multiLevelType w:val="hybridMultilevel"/>
    <w:lvl w:ilvl="0">
      <w:lvlJc w:val="left"/>
      <w:lvlText w:val="(%1)"/>
      <w:numFmt w:val="lowerRoman"/>
      <w:start w:val="1"/>
    </w:lvl>
  </w:abstractNum>
  <w:abstractNum w:abstractNumId="116">
    <w:nsid w:val="5D888A08"/>
    <w:multiLevelType w:val="hybridMultilevel"/>
    <w:lvl w:ilvl="0">
      <w:lvlJc w:val="left"/>
      <w:lvlText w:val="%1"/>
      <w:numFmt w:val="lowerLetter"/>
      <w:start w:val="1"/>
    </w:lvl>
    <w:lvl w:ilvl="1">
      <w:lvlJc w:val="left"/>
      <w:lvlText w:val="(%2)"/>
      <w:numFmt w:val="lowerRoman"/>
      <w:start w:val="2"/>
    </w:lvl>
  </w:abstractNum>
  <w:abstractNum w:abstractNumId="117">
    <w:nsid w:val="2A082C70"/>
    <w:multiLevelType w:val="hybridMultilevel"/>
    <w:lvl w:ilvl="0">
      <w:lvlJc w:val="left"/>
      <w:lvlText w:val="(%1)"/>
      <w:numFmt w:val="lowerLetter"/>
      <w:start w:val="3"/>
    </w:lvl>
    <w:lvl w:ilvl="1">
      <w:lvlJc w:val="left"/>
      <w:lvlText w:val="%2"/>
      <w:numFmt w:val="lowerRoman"/>
      <w:start w:val="1"/>
    </w:lvl>
  </w:abstractNum>
  <w:abstractNum w:abstractNumId="118">
    <w:nsid w:val="5EC6AFD4"/>
    <w:multiLevelType w:val="hybridMultilevel"/>
    <w:lvl w:ilvl="0">
      <w:lvlJc w:val="left"/>
      <w:lvlText w:val="(%1)"/>
      <w:numFmt w:val="lowerLetter"/>
      <w:start w:val="1"/>
    </w:lvl>
  </w:abstractNum>
  <w:abstractNum w:abstractNumId="119">
    <w:nsid w:val="19E21BB2"/>
    <w:multiLevelType w:val="hybridMultilevel"/>
    <w:lvl w:ilvl="0">
      <w:lvlJc w:val="left"/>
      <w:lvlText w:val="(%1)"/>
      <w:numFmt w:val="lowerLetter"/>
      <w:start w:val="5"/>
    </w:lvl>
  </w:abstractNum>
  <w:abstractNum w:abstractNumId="120">
    <w:nsid w:val="75E0858A"/>
    <w:multiLevelType w:val="hybridMultilevel"/>
    <w:lvl w:ilvl="0">
      <w:lvlJc w:val="left"/>
      <w:lvlText w:val="(%1)"/>
      <w:numFmt w:val="lowerLetter"/>
      <w:start w:val="1"/>
    </w:lvl>
  </w:abstractNum>
  <w:abstractNum w:abstractNumId="121">
    <w:nsid w:val="57A61A29"/>
    <w:multiLevelType w:val="hybridMultilevel"/>
    <w:lvl w:ilvl="0">
      <w:lvlJc w:val="left"/>
      <w:lvlText w:val="(%1)"/>
      <w:numFmt w:val="lowerLetter"/>
      <w:start w:val="2"/>
    </w:lvl>
  </w:abstractNum>
  <w:abstractNum w:abstractNumId="122">
    <w:nsid w:val="5399C654"/>
    <w:multiLevelType w:val="hybridMultilevel"/>
    <w:lvl w:ilvl="0">
      <w:lvlJc w:val="left"/>
      <w:lvlText w:val="(%1)"/>
      <w:numFmt w:val="lowerLetter"/>
      <w:start w:val="5"/>
    </w:lvl>
  </w:abstractNum>
  <w:abstractNum w:abstractNumId="123">
    <w:nsid w:val="20EE1348"/>
    <w:multiLevelType w:val="hybridMultilevel"/>
    <w:lvl w:ilvl="0">
      <w:lvlJc w:val="left"/>
      <w:lvlText w:val="(%1)"/>
      <w:numFmt w:val="lowerLetter"/>
      <w:start w:val="1"/>
    </w:lvl>
    <w:lvl w:ilvl="1">
      <w:lvlJc w:val="left"/>
      <w:lvlText w:val="(%2)"/>
      <w:numFmt w:val="lowerRoman"/>
      <w:start w:val="1"/>
    </w:lvl>
  </w:abstractNum>
  <w:abstractNum w:abstractNumId="124">
    <w:nsid w:val="4427069A"/>
    <w:multiLevelType w:val="hybridMultilevel"/>
    <w:lvl w:ilvl="0">
      <w:lvlJc w:val="left"/>
      <w:lvlText w:val="(%1)"/>
      <w:numFmt w:val="lowerLetter"/>
      <w:start w:val="2"/>
    </w:lvl>
  </w:abstractNum>
  <w:abstractNum w:abstractNumId="125">
    <w:nsid w:val="B37E80A"/>
    <w:multiLevelType w:val="hybridMultilevel"/>
    <w:lvl w:ilvl="0">
      <w:lvlJc w:val="left"/>
      <w:lvlText w:val="(%1)"/>
      <w:numFmt w:val="lowerLetter"/>
      <w:start w:val="4"/>
    </w:lvl>
  </w:abstractNum>
  <w:abstractNum w:abstractNumId="126">
    <w:nsid w:val="2157F6BC"/>
    <w:multiLevelType w:val="hybridMultilevel"/>
    <w:lvl w:ilvl="0">
      <w:lvlJc w:val="left"/>
      <w:lvlText w:val="(%1)"/>
      <w:numFmt w:val="lowerLetter"/>
      <w:start w:val="1"/>
    </w:lvl>
  </w:abstractNum>
  <w:abstractNum w:abstractNumId="127">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28">
    <w:nsid w:val="57D2F10E"/>
    <w:multiLevelType w:val="hybridMultilevel"/>
    <w:lvl w:ilvl="0">
      <w:lvlJc w:val="left"/>
      <w:lvlText w:val="(%1)"/>
      <w:numFmt w:val="decimal"/>
      <w:start w:val="120"/>
    </w:lvl>
    <w:lvl w:ilvl="1">
      <w:lvlJc w:val="left"/>
      <w:lvlText w:val="%2"/>
      <w:numFmt w:val="lowerLetter"/>
      <w:start w:val="1"/>
    </w:lvl>
    <w:lvl w:ilvl="2">
      <w:lvlJc w:val="left"/>
      <w:lvlText w:val="%3"/>
      <w:numFmt w:val="lowerLetter"/>
      <w:start w:val="1"/>
    </w:lvl>
  </w:abstractNum>
  <w:abstractNum w:abstractNumId="129">
    <w:nsid w:val="BFFAE18"/>
    <w:multiLevelType w:val="hybridMultilevel"/>
    <w:lvl w:ilvl="0">
      <w:lvlJc w:val="left"/>
      <w:lvlText w:val="%1"/>
      <w:numFmt w:val="lowerLetter"/>
      <w:start w:val="1"/>
    </w:lvl>
    <w:lvl w:ilvl="1">
      <w:lvlJc w:val="left"/>
      <w:lvlText w:val="(%2)"/>
      <w:numFmt w:val="lowerRoman"/>
      <w:start w:val="2"/>
    </w:lvl>
  </w:abstractNum>
  <w:abstractNum w:abstractNumId="130">
    <w:nsid w:val="E3E47A8"/>
    <w:multiLevelType w:val="hybridMultilevel"/>
    <w:lvl w:ilvl="0">
      <w:lvlJc w:val="left"/>
      <w:lvlText w:val="(%1)"/>
      <w:numFmt w:val="lowerLetter"/>
      <w:start w:val="2"/>
    </w:lvl>
    <w:lvl w:ilvl="1">
      <w:lvlJc w:val="left"/>
      <w:lvlText w:val="%2"/>
      <w:numFmt w:val="lowerRoman"/>
      <w:start w:val="1"/>
    </w:lvl>
  </w:abstractNum>
  <w:abstractNum w:abstractNumId="131">
    <w:nsid w:val="2E48F044"/>
    <w:multiLevelType w:val="hybridMultilevel"/>
    <w:lvl w:ilvl="0">
      <w:lvlJc w:val="left"/>
      <w:lvlText w:val="(%1)"/>
      <w:numFmt w:val="lowerLetter"/>
      <w:start w:val="1"/>
    </w:lvl>
    <w:lvl w:ilvl="1">
      <w:lvlJc w:val="left"/>
      <w:lvlText w:val="(%2)"/>
      <w:numFmt w:val="lowerRoman"/>
      <w:start w:val="1"/>
    </w:lvl>
  </w:abstractNum>
  <w:abstractNum w:abstractNumId="132">
    <w:nsid w:val="49D0FEAC"/>
    <w:multiLevelType w:val="hybridMultilevel"/>
    <w:lvl w:ilvl="0">
      <w:lvlJc w:val="left"/>
      <w:lvlText w:val="%1"/>
      <w:numFmt w:val="lowerLetter"/>
      <w:start w:val="1"/>
    </w:lvl>
    <w:lvl w:ilvl="1">
      <w:lvlJc w:val="left"/>
      <w:lvlText w:val="(%2)"/>
      <w:numFmt w:val="lowerRoman"/>
      <w:start w:val="4"/>
    </w:lvl>
  </w:abstractNum>
  <w:abstractNum w:abstractNumId="133">
    <w:nsid w:val="4BEE5A5B"/>
    <w:multiLevelType w:val="hybridMultilevel"/>
    <w:lvl w:ilvl="0">
      <w:lvlJc w:val="left"/>
      <w:lvlText w:val="(%1)"/>
      <w:numFmt w:val="lowerLetter"/>
      <w:start w:val="2"/>
    </w:lvl>
    <w:lvl w:ilvl="1">
      <w:lvlJc w:val="left"/>
      <w:lvlText w:val="%2"/>
      <w:numFmt w:val="lowerRoman"/>
      <w:start w:val="1"/>
    </w:lvl>
  </w:abstractNum>
  <w:abstractNum w:abstractNumId="134">
    <w:nsid w:val="5551B9F3"/>
    <w:multiLevelType w:val="hybridMultilevel"/>
    <w:lvl w:ilvl="0">
      <w:lvlJc w:val="left"/>
      <w:lvlText w:val="(%1)"/>
      <w:numFmt w:val="lowerLetter"/>
      <w:start w:val="1"/>
    </w:lvl>
  </w:abstractNum>
  <w:abstractNum w:abstractNumId="135">
    <w:nsid w:val="24F6AB8E"/>
    <w:multiLevelType w:val="hybridMultilevel"/>
    <w:lvl w:ilvl="0">
      <w:lvlJc w:val="left"/>
      <w:lvlText w:val="(%1)"/>
      <w:numFmt w:val="lowerRoman"/>
      <w:start w:val="1"/>
    </w:lvl>
  </w:abstractNum>
  <w:abstractNum w:abstractNumId="136">
    <w:nsid w:val="634C574C"/>
    <w:multiLevelType w:val="hybridMultilevel"/>
    <w:lvl w:ilvl="0">
      <w:lvlJc w:val="left"/>
      <w:lvlText w:val="("/>
      <w:numFmt w:val="bullet"/>
      <w:start w:val="1"/>
    </w:lvl>
  </w:abstractNum>
  <w:abstractNum w:abstractNumId="137">
    <w:nsid w:val="24E99DD7"/>
    <w:multiLevelType w:val="hybridMultilevel"/>
    <w:lvl w:ilvl="0">
      <w:lvlJc w:val="left"/>
      <w:lvlText w:val="%1."/>
      <w:numFmt w:val="decimal"/>
      <w:start w:val="1"/>
    </w:lvl>
    <w:lvl w:ilvl="1">
      <w:lvlJc w:val="left"/>
      <w:lvlText w:val="("/>
      <w:numFmt w:val="bullet"/>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73"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jpeg"/><Relationship Id="rId418" Type="http://schemas.openxmlformats.org/officeDocument/2006/relationships/image" Target="media/image392.png"/><Relationship Id="rId419" Type="http://schemas.openxmlformats.org/officeDocument/2006/relationships/image" Target="media/image393.jpeg"/><Relationship Id="rId420" Type="http://schemas.openxmlformats.org/officeDocument/2006/relationships/image" Target="media/image394.png"/><Relationship Id="rId262" Type="http://schemas.openxmlformats.org/officeDocument/2006/relationships/hyperlink" Target="http://www.sec.gov/Archives/edgar/data/1585521/000119312519099813/d642624dex11.htm" TargetMode="External"/><Relationship Id="rId263" Type="http://schemas.openxmlformats.org/officeDocument/2006/relationships/hyperlink" Target="http://www.sec.gov/Archives/edgar/data/0001585521/000119312519083351/d642624dex31.htm" TargetMode="External"/><Relationship Id="rId264" Type="http://schemas.openxmlformats.org/officeDocument/2006/relationships/hyperlink" Target="http://www.sec.gov/Archives/edgar/data/0001585521/000119312519083351/d642624dex32.htm" TargetMode="External"/><Relationship Id="rId265" Type="http://schemas.openxmlformats.org/officeDocument/2006/relationships/hyperlink" Target="http://www.sec.gov/Archives/edgar/data/1585521/000119312519099813/d642624dex33.htm" TargetMode="External"/><Relationship Id="rId266" Type="http://schemas.openxmlformats.org/officeDocument/2006/relationships/hyperlink" Target="http://www.sec.gov/Archives/edgar/data/1585521/000119312519099813/d642624dex34.htm" TargetMode="External"/><Relationship Id="rId267" Type="http://schemas.openxmlformats.org/officeDocument/2006/relationships/hyperlink" Target="http://www.sec.gov/Archives/edgar/data/1585521/000119312519099813/d642624dex41.htm" TargetMode="External"/><Relationship Id="rId268" Type="http://schemas.openxmlformats.org/officeDocument/2006/relationships/hyperlink" Target="http://www.sec.gov/Archives/edgar/data/0001585521/000119312519083351/d642624dex101.htm" TargetMode="External"/><Relationship Id="rId269" Type="http://schemas.openxmlformats.org/officeDocument/2006/relationships/hyperlink" Target="http://www.sec.gov/Archives/edgar/data/1585521/000119312519099813/d642624dex102.htm" TargetMode="External"/><Relationship Id="rId270" Type="http://schemas.openxmlformats.org/officeDocument/2006/relationships/hyperlink" Target="http://www.sec.gov/Archives/edgar/data/1585521/000119312519099813/d642624dex103.htm" TargetMode="External"/><Relationship Id="rId271" Type="http://schemas.openxmlformats.org/officeDocument/2006/relationships/hyperlink" Target="http://www.sec.gov/Archives/edgar/data/0001585521/000119312519083351/d642624dex104.htm" TargetMode="External"/><Relationship Id="rId272" Type="http://schemas.openxmlformats.org/officeDocument/2006/relationships/hyperlink" Target="http://www.sec.gov/Archives/edgar/data/0001585521/000119312519083351/d642624dex105.htm" TargetMode="External"/><Relationship Id="rId274" Type="http://schemas.openxmlformats.org/officeDocument/2006/relationships/hyperlink" Target="http://www.sec.gov/Archives/edgar/data/0001585521/000119312519083351/d642624dex106.htm" TargetMode="External"/><Relationship Id="rId275" Type="http://schemas.openxmlformats.org/officeDocument/2006/relationships/hyperlink" Target="http://www.sec.gov/Archives/edgar/data/0001585521/000119312519083351/d642624dex107.htm" TargetMode="External"/><Relationship Id="rId276" Type="http://schemas.openxmlformats.org/officeDocument/2006/relationships/hyperlink" Target="http://www.sec.gov/Archives/edgar/data/0001585521/000119312519083351/d642624dex108.htm" TargetMode="External"/><Relationship Id="rId277" Type="http://schemas.openxmlformats.org/officeDocument/2006/relationships/hyperlink" Target="http://www.sec.gov/Archives/edgar/data/0001585521/000119312519083351/d642624dex109.htm" TargetMode="External"/><Relationship Id="rId278" Type="http://schemas.openxmlformats.org/officeDocument/2006/relationships/hyperlink" Target="http://www.sec.gov/Archives/edgar/data/0001585521/000119312519083351/d642624dex1010.htm" TargetMode="External"/><Relationship Id="rId279" Type="http://schemas.openxmlformats.org/officeDocument/2006/relationships/hyperlink" Target="http://www.sec.gov/Archives/edgar/data/1585521/000119312519099813/d642624dex1011.htm" TargetMode="External"/><Relationship Id="rId280" Type="http://schemas.openxmlformats.org/officeDocument/2006/relationships/hyperlink" Target="http://www.sec.gov/Archives/edgar/data/0001585521/000119312519083351/d642624dex211.htm" TargetMode="External"/><Relationship Id="rId281" Type="http://schemas.openxmlformats.org/officeDocument/2006/relationships/hyperlink" Target="http://www.sec.gov/Archives/edgar/data/1585521/000119312519083351/d642624ds1.htm#ii642624_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2019-12-03T09:37:56Z</dcterms:created>
  <dcterms:modified xsi:type="dcterms:W3CDTF">2019-12-03T09:37:56Z</dcterms:modified>
</cp:coreProperties>
</file>