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Subotovsky Santiago</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Zoom Communications,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07/02/2025</w:t>
            </w:r>
          </w:p>
        </w:tc>
        <w:tc>
          <w:tcPr>
            <w:tcW w:w="1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60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55 ALMADEN BLVD, #600</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07/02/2025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2,475</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77.1701</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0000FF"/>
              </w:rPr>
              <w:t>157,235</w:t>
            </w:r>
            <w:r>
              <w:rPr>
                <w:rFonts w:ascii="Times New Roman" w:cs="Times New Roman" w:eastAsia="Times New Roman" w:hAnsi="Times New Roman"/>
                <w:sz w:val="22"/>
                <w:szCs w:val="22"/>
                <w:color w:val="008000"/>
                <w:vertAlign w:val="superscript"/>
              </w:rPr>
              <w:t>(3)</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1,470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December 19, 2024</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$76.725 to $77.595.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4,361 shares of the Issuer's Class A Common Stock acquired upon the vesting of restricted stock units that are held for the benefit of Emergence Equity Partners III, L.P.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the Subotovsky Mann Family Trust, of which the Reporting Person is a 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07/07/2025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2025-07-07T20:17:25Z</dcterms:created>
  <dcterms:modified xsi:type="dcterms:W3CDTF">2025-07-07T20:17:25Z</dcterms:modified>
</cp:coreProperties>
</file>