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August 22, 2022</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46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771525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On August 22, 2022, Zoom Video Communications, Inc. (the “Company”) issued a press release announcing its financial results for the three months ended July 31, 2022. A copy of the press release is furnished as Exhibit 99.1 to this report and is incorporated by reference.</w:t>
      </w:r>
    </w:p>
    <w:p>
      <w:pPr>
        <w:spacing w:after="0" w:line="151"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August 22, 2022 of Zoom Video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7260" w:type="dxa"/>
            <w:vAlign w:val="bottom"/>
            <w:gridSpan w:val="2"/>
          </w:tcPr>
          <w:p>
            <w:pPr>
              <w:ind w:left="180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Dated: August 22, 2022</w:t>
            </w:r>
          </w:p>
        </w:tc>
        <w:tc>
          <w:tcPr>
            <w:tcW w:w="250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4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Video Communications Reports Financial Results for the Second Quarter of Fiscal Year 2023</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total revenue of $1,099.5 million, up 8%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GAAP operating margin of 11.1% and non-GAAP operating margin of 35.8%</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Number of customers contributing more than $100,000 in trailing 12 months revenue up 37% year over year</w:t>
      </w:r>
    </w:p>
    <w:p>
      <w:pPr>
        <w:spacing w:after="0" w:line="220"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August 22, 2022 – Zoom Video Communications, Inc. (NASDAQ: ZM), today announced financial results for the second fiscal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July 31, 2022.</w:t>
      </w:r>
    </w:p>
    <w:p>
      <w:pPr>
        <w:spacing w:after="0" w:line="14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“In Q2, we continued to gain traction as the platform of choice for enterprises looking to deliver flexible, productive solutions for collaboration and customer engagement,” said Zoom founder and CEO, Eric S. Yuan. “Businesses are drawn to the Zoom platform because of our innovation and modern architecture. Our recently launched Zoom Contact Center and Zoom IQ for Sales products saw some great early wins while Zoom Phone delivered milestone results, hitting a record number of licenses sold in the quarter and reaching nearly 4 million seats, up more than 100% year over year.”</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“In Q2, we delivered our fifth straight quarter with revenue of over one billion dollars. While we saw continued momentum with our Enterprise customers and our non-GAAP operating income came in meaningfully higher than our outlook, our revenue was impacted by the strengthening of the U.S. dollar, performance of the online business, and to a lesser extent sales weighted to the backend of the quarter,” said Zoom CFO, Kelly Steckelberg. “Consequently, we are now expecting to deliver FY23 revenue in the range of $4.385 billion to $4.395 billion. We remain focused on operational discipline, and continue to expect non-GAAP operating margin of approximately 33%.”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Quarter Fiscal Year 2023 Financial Highlights:</w:t>
      </w:r>
    </w:p>
    <w:p>
      <w:pPr>
        <w:spacing w:after="0" w:line="205" w:lineRule="exact"/>
        <w:rPr>
          <w:sz w:val="20"/>
          <w:szCs w:val="20"/>
          <w:color w:val="auto"/>
        </w:rPr>
      </w:pPr>
    </w:p>
    <w:p>
      <w:pPr>
        <w:ind w:left="920" w:hanging="296"/>
        <w:spacing w:after="0"/>
        <w:tabs>
          <w:tab w:leader="none" w:pos="9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second quarter was $1,099.5 million, up 8% year over year.</w:t>
      </w:r>
    </w:p>
    <w:p>
      <w:pPr>
        <w:spacing w:after="0" w:line="114" w:lineRule="exact"/>
        <w:rPr>
          <w:rFonts w:ascii="Times New Roman" w:cs="Times New Roman" w:eastAsia="Times New Roman" w:hAnsi="Times New Roman"/>
          <w:sz w:val="17"/>
          <w:szCs w:val="17"/>
          <w:b w:val="1"/>
          <w:bCs w:val="1"/>
          <w:color w:val="auto"/>
        </w:rPr>
      </w:pPr>
    </w:p>
    <w:p>
      <w:pPr>
        <w:ind w:left="940" w:right="6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second quarter was $121.7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$294.6 million in the second quarter of fiscal year 2022. After adjusting for stock-based compensation expense and related payroll taxes, and acquisition-related expenses, non-GAAP income from operations for the second quarter was $393.7 million, compared to non-GAAP income from operations of $424.7 million in the second quarter of fiscal year 2022. For the second quarter, GAAP operating margin was 11.1% and non-GAAP operating margin was 35.8%.</w:t>
      </w:r>
    </w:p>
    <w:p>
      <w:pPr>
        <w:spacing w:after="0" w:line="169" w:lineRule="exact"/>
        <w:rPr>
          <w:rFonts w:ascii="Times New Roman" w:cs="Times New Roman" w:eastAsia="Times New Roman" w:hAnsi="Times New Roman"/>
          <w:sz w:val="17"/>
          <w:szCs w:val="17"/>
          <w:b w:val="1"/>
          <w:bCs w:val="1"/>
          <w:color w:val="auto"/>
        </w:rPr>
      </w:pPr>
    </w:p>
    <w:p>
      <w:pPr>
        <w:ind w:left="94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attributable to common stockholders for the second quarter was $45.7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$0.15 per share, compared to GAAP net income attributable to common stockholders of $316.9 million, or $1.04 per share in the second quarter of fiscal year 2022.</w:t>
      </w:r>
    </w:p>
    <w:p>
      <w:pPr>
        <w:spacing w:after="0" w:line="60" w:lineRule="exact"/>
        <w:rPr>
          <w:rFonts w:ascii="Times New Roman" w:cs="Times New Roman" w:eastAsia="Times New Roman" w:hAnsi="Times New Roman"/>
          <w:sz w:val="17"/>
          <w:szCs w:val="17"/>
          <w:b w:val="1"/>
          <w:bCs w:val="1"/>
          <w:color w:val="auto"/>
        </w:rPr>
      </w:pPr>
    </w:p>
    <w:p>
      <w:pPr>
        <w:jc w:val="both"/>
        <w:ind w:left="940" w:right="2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second quarter was $323.5 million, after adjusting for stock-based compensation expense and related payroll taxes, losses (gains) on strategic investments, net, acquisition-related expenses, undistributed earnings attributable to participating securities, and the tax effects on non-GAAP adjustments. Non-GAAP net income per share was $1.05. In the second quarter of fiscal year 2022, non-GAAP net income was $415.1 million, or $1.36 per share.</w:t>
      </w:r>
    </w:p>
    <w:p>
      <w:pPr>
        <w:spacing w:after="0" w:line="166" w:lineRule="exact"/>
        <w:rPr>
          <w:rFonts w:ascii="Times New Roman" w:cs="Times New Roman" w:eastAsia="Times New Roman" w:hAnsi="Times New Roman"/>
          <w:sz w:val="17"/>
          <w:szCs w:val="17"/>
          <w:b w:val="1"/>
          <w:bCs w:val="1"/>
          <w:color w:val="auto"/>
        </w:rPr>
      </w:pPr>
    </w:p>
    <w:p>
      <w:pPr>
        <w:ind w:left="940" w:right="26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July 31, 2022 was $5.5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jc w:val="both"/>
        <w:ind w:left="940" w:right="2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$257.2 million for the second quarter, compared to $468.0 million in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2022. Adjusted free cash flow, which is net cash provided by operating activities less purchases of property and equipment, plus litigation settlement payments, net, was $222.1 million, compared to $455.0 million in the second quarter of fiscal year 2022.</w:t>
      </w:r>
    </w:p>
    <w:p>
      <w:pPr>
        <w:spacing w:after="0" w:line="16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and expanding across existing customers. At the end of the second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2023, Zoom had:</w:t>
      </w:r>
    </w:p>
    <w:p>
      <w:pPr>
        <w:spacing w:after="0" w:line="44" w:lineRule="exact"/>
        <w:rPr>
          <w:sz w:val="20"/>
          <w:szCs w:val="20"/>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Approximately 204,100 Enterprise customers, up 18% from the same quarter last fiscal year.</w:t>
      </w:r>
    </w:p>
    <w:p>
      <w:pPr>
        <w:spacing w:after="0" w:line="114" w:lineRule="exact"/>
        <w:rPr>
          <w:rFonts w:ascii="Times New Roman" w:cs="Times New Roman" w:eastAsia="Times New Roman" w:hAnsi="Times New Roman"/>
          <w:sz w:val="17"/>
          <w:szCs w:val="17"/>
          <w:b w:val="1"/>
          <w:bCs w:val="1"/>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120%.</w:t>
      </w:r>
    </w:p>
    <w:p>
      <w:pPr>
        <w:sectPr>
          <w:pgSz w:w="11900" w:h="16838" w:orient="portrait"/>
          <w:cols w:equalWidth="0" w:num="1">
            <w:col w:w="11240"/>
          </w:cols>
          <w:pgMar w:left="320" w:top="1092" w:right="339" w:bottom="1440" w:gutter="0" w:footer="0" w:header="0"/>
        </w:sectPr>
      </w:pPr>
    </w:p>
    <w:bookmarkStart w:id="4" w:name="page5"/>
    <w:bookmarkEnd w:id="4"/>
    <w:p>
      <w:pPr>
        <w:ind w:left="920" w:hanging="296"/>
        <w:spacing w:after="0"/>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3,116 customers contributing more than $100,000 in trailing 12 months revenue, up approximately 37% from the same quarter last fiscal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third quarter fiscal year 2023 and its full fiscal year 2023.</w:t>
      </w:r>
    </w:p>
    <w:p>
      <w:pPr>
        <w:spacing w:after="0" w:line="119" w:lineRule="exact"/>
        <w:rPr>
          <w:sz w:val="20"/>
          <w:szCs w:val="20"/>
          <w:color w:val="auto"/>
        </w:rPr>
      </w:pPr>
    </w:p>
    <w:p>
      <w:pPr>
        <w:ind w:left="940" w:right="40" w:hanging="316"/>
        <w:spacing w:after="0" w:line="270"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Third Quarter Fiscal Year 2023: Total revenue is expected to be between $1.095 billion and $1.100 billion and non-GAAP income from operations is expected to be between $325.0 million and $330.0 million. Non-GAAP diluted EPS is expected to be between $0.82 and $0.83 with approximately 306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ind w:left="940" w:right="40" w:hanging="316"/>
        <w:spacing w:after="0" w:line="270"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Fiscal Year 2023: Total revenue is expected to be between $4.385 billion and $4.395 billion. Full fiscal year non-GAAP income from operations is expected to be between $1.440 billion and $1.450 billion. Full fiscal year non-GAAP diluted EPS is expected to be between $3.66 and $3.69 with approximately 307 million weighted average shares outstanding.</w:t>
      </w:r>
    </w:p>
    <w:p>
      <w:pPr>
        <w:spacing w:after="0" w:line="16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1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August 22, 2022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Zoom is for you. Zoom is a space where you can connect to others, share ideas, make plans,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3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third quarter of fiscal year 2023 and full fiscal year 2023, Zoom’s market position, opportunities, and growth strategy, product initiatives and go-to 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 COVID-19 pandemic tapers, particularly as users return to work or school or are otherwise no longer subject to limitations on in-person meetings, as well as the impact of COVID-19 and other macroeconomic conditions, including inflation,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2022. Forward-looking statements speak only as of the date the statements are made and are based on information available to</w:t>
      </w:r>
    </w:p>
    <w:p>
      <w:pPr>
        <w:sectPr>
          <w:pgSz w:w="11900" w:h="16838" w:orient="portrait"/>
          <w:cols w:equalWidth="0" w:num="1">
            <w:col w:w="11240"/>
          </w:cols>
          <w:pgMar w:left="320" w:top="963" w:right="339" w:bottom="1440" w:gutter="0" w:footer="0" w:header="0"/>
        </w:sectPr>
      </w:pPr>
    </w:p>
    <w:bookmarkStart w:id="5" w:name="page6"/>
    <w:bookmarkEnd w:id="5"/>
    <w:p>
      <w:pPr>
        <w:ind w:right="240"/>
        <w:spacing w:after="0" w:line="272" w:lineRule="auto"/>
        <w:rPr>
          <w:sz w:val="20"/>
          <w:szCs w:val="20"/>
          <w:color w:val="auto"/>
        </w:rPr>
      </w:pPr>
      <w:r>
        <w:rPr>
          <w:rFonts w:ascii="Times New Roman" w:cs="Times New Roman" w:eastAsia="Times New Roman" w:hAnsi="Times New Roman"/>
          <w:sz w:val="17"/>
          <w:szCs w:val="17"/>
          <w:color w:val="auto"/>
        </w:rPr>
        <w:t>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gains/losses on strategic investments, net, litigation settlements, net, and undistributed earnings attributable to participating securities, including the tax effects of all non-GAAP adjustments.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Free Cash Flow, Adjusted Free Cash Flow and Adjusted Free Cash Flow Margin. Zoom defines free cash flow as GAAP net cash provided by operating activities less purchases of property and equipment. Zoom defines adjusted free cash flow as free cash flow plus litigation settlement payments, net. Zoom adds back litigation settlement payments, net because they are not part of Zoom's ongoing operating activities, and the consideration of measures that exclude such payments can assist in the comparison of cash generated from operations in different periods which may or may not include such payments and assist in the comparison with the results of other companies in the industry. Zoom considers free cash flow and adjusted free cash flow to be liquidity measures that provide useful information to management and investors regarding net cash provided by operating activities and cash used for investments in property and equipment required to maintain and grow the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host or an organization of any size (including a distinct unit of an organization) that has multiple paid hosts. Zoom defines Enterprise customers as distinct</w:t>
      </w:r>
    </w:p>
    <w:p>
      <w:pPr>
        <w:sectPr>
          <w:pgSz w:w="11900" w:h="16838" w:orient="portrait"/>
          <w:cols w:equalWidth="0" w:num="1">
            <w:col w:w="11220"/>
          </w:cols>
          <w:pgMar w:left="320" w:top="860" w:right="359" w:bottom="1440" w:gutter="0" w:footer="0" w:header="0"/>
        </w:sectPr>
      </w:pPr>
    </w:p>
    <w:bookmarkStart w:id="6" w:name="page7"/>
    <w:bookmarkEnd w:id="6"/>
    <w:p>
      <w:pPr>
        <w:ind w:right="420"/>
        <w:spacing w:after="0" w:line="288" w:lineRule="auto"/>
        <w:rPr>
          <w:sz w:val="20"/>
          <w:szCs w:val="20"/>
          <w:color w:val="auto"/>
        </w:rPr>
      </w:pPr>
      <w:r>
        <w:rPr>
          <w:rFonts w:ascii="Times New Roman" w:cs="Times New Roman" w:eastAsia="Times New Roman" w:hAnsi="Times New Roman"/>
          <w:sz w:val="17"/>
          <w:szCs w:val="17"/>
          <w:color w:val="auto"/>
        </w:rPr>
        <w:t>business units who have been engaged by either Zoom’s direct sales team, channel partners or independent software vendor partners. All other customers are referred to as Online customers.</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Contacts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 and Executive Communications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McCallum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937,443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1,062,820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4,582,708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4,356,446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419,673</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199,266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6,414,401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6,183,807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164,714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222,354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367,814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27,607</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382,296</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106,761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8,047,598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7,551,318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7,841</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430,415</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1,345,636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1,141,435</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1,866,888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1,579,691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38,481</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68,110</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2,057,201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1,771,300</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3,830,745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3,749,514</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(17,902)</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2,207,515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2,048,107</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5,990,397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5,780,018</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8,047,598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7,551,318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$70.6 million and $59.7 million as of July 31, 2022 and January 31, 2022,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5"/>
                <w:szCs w:val="15"/>
                <w:color w:val="auto"/>
              </w:rPr>
            </w:pPr>
          </w:p>
        </w:tc>
        <w:tc>
          <w:tcPr>
            <w:tcW w:w="26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1,099,458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1,021,495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2,173,258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1,977,732</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261,256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535,432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526,250</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825,847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760,239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1,637,826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1,451,482</w:t>
            </w: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316,855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147,486</w:t>
            </w: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516,846</w:t>
            </w: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266,235</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704,104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465,636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1,329,018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930,567</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520,915</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gains on strategic investments,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32,076</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323,884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552,815</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544,615</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316,930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159,389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544,306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common stockholders: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0.52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1.78</w:t>
            </w:r>
          </w:p>
        </w:tc>
      </w:tr>
    </w:tbl>
    <w:p>
      <w:pPr>
        <w:spacing w:after="0" w:line="9" w:lineRule="exact"/>
        <w:rPr>
          <w:sz w:val="20"/>
          <w:szCs w:val="20"/>
          <w:color w:val="auto"/>
        </w:rPr>
      </w:pPr>
    </w:p>
    <w:p>
      <w:pPr>
        <w:sectPr>
          <w:pgSz w:w="11900" w:h="16838" w:orient="portrait"/>
          <w:cols w:equalWidth="0" w:num="1">
            <w:col w:w="11240"/>
          </w:cols>
          <w:pgMar w:left="320" w:top="856" w:right="339" w:bottom="1440" w:gutter="0" w:footer="0" w:header="0"/>
        </w:sectPr>
      </w:pPr>
    </w:p>
    <w:p>
      <w:pPr>
        <w:ind w:left="20" w:right="440"/>
        <w:spacing w:after="0"/>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298,553,379</w:t>
      </w:r>
      <w:r>
        <w:rPr>
          <w:sz w:val="20"/>
          <w:szCs w:val="20"/>
          <w:color w:val="auto"/>
        </w:rPr>
        <w:tab/>
      </w:r>
      <w:r>
        <w:rPr>
          <w:rFonts w:ascii="Times New Roman" w:cs="Times New Roman" w:eastAsia="Times New Roman" w:hAnsi="Times New Roman"/>
          <w:sz w:val="17"/>
          <w:szCs w:val="17"/>
          <w:color w:val="auto"/>
        </w:rPr>
        <w:t>295,712,675</w:t>
      </w:r>
      <w:r>
        <w:rPr>
          <w:sz w:val="20"/>
          <w:szCs w:val="20"/>
          <w:color w:val="auto"/>
        </w:rPr>
        <w:tab/>
      </w:r>
      <w:r>
        <w:rPr>
          <w:rFonts w:ascii="Times New Roman" w:cs="Times New Roman" w:eastAsia="Times New Roman" w:hAnsi="Times New Roman"/>
          <w:sz w:val="17"/>
          <w:szCs w:val="17"/>
          <w:color w:val="auto"/>
        </w:rPr>
        <w:t>298,865,676</w:t>
      </w:r>
      <w:r>
        <w:rPr>
          <w:sz w:val="20"/>
          <w:szCs w:val="20"/>
          <w:color w:val="auto"/>
        </w:rPr>
        <w:tab/>
      </w:r>
      <w:r>
        <w:rPr>
          <w:rFonts w:ascii="Times New Roman" w:cs="Times New Roman" w:eastAsia="Times New Roman" w:hAnsi="Times New Roman"/>
          <w:sz w:val="17"/>
          <w:szCs w:val="17"/>
          <w:color w:val="auto"/>
        </w:rPr>
        <w:t>294,769,619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17780</wp:posOffset>
            </wp:positionV>
            <wp:extent cx="713803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8859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-375920</wp:posOffset>
            </wp:positionV>
            <wp:extent cx="7138035"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307,160,840</w:t>
      </w:r>
      <w:r>
        <w:rPr>
          <w:sz w:val="20"/>
          <w:szCs w:val="20"/>
          <w:color w:val="auto"/>
        </w:rPr>
        <w:tab/>
      </w:r>
      <w:r>
        <w:rPr>
          <w:rFonts w:ascii="Times New Roman" w:cs="Times New Roman" w:eastAsia="Times New Roman" w:hAnsi="Times New Roman"/>
          <w:sz w:val="17"/>
          <w:szCs w:val="17"/>
          <w:color w:val="auto"/>
        </w:rPr>
        <w:t>305,861,051</w:t>
      </w:r>
      <w:r>
        <w:rPr>
          <w:sz w:val="20"/>
          <w:szCs w:val="20"/>
          <w:color w:val="auto"/>
        </w:rPr>
        <w:tab/>
      </w:r>
      <w:r>
        <w:rPr>
          <w:rFonts w:ascii="Times New Roman" w:cs="Times New Roman" w:eastAsia="Times New Roman" w:hAnsi="Times New Roman"/>
          <w:sz w:val="17"/>
          <w:szCs w:val="17"/>
          <w:color w:val="auto"/>
        </w:rPr>
        <w:t>306,902,964</w:t>
      </w:r>
      <w:r>
        <w:rPr>
          <w:sz w:val="20"/>
          <w:szCs w:val="20"/>
          <w:color w:val="auto"/>
        </w:rPr>
        <w:tab/>
      </w:r>
      <w:r>
        <w:rPr>
          <w:rFonts w:ascii="Times New Roman" w:cs="Times New Roman" w:eastAsia="Times New Roman" w:hAnsi="Times New Roman"/>
          <w:sz w:val="17"/>
          <w:szCs w:val="17"/>
          <w:color w:val="auto"/>
        </w:rPr>
        <w:t>305,652,628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41910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6"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5"/>
                <w:szCs w:val="15"/>
                <w:color w:val="auto"/>
              </w:rPr>
            </w:pPr>
          </w:p>
        </w:tc>
        <w:tc>
          <w:tcPr>
            <w:tcW w:w="2680" w:type="dxa"/>
            <w:vAlign w:val="bottom"/>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45,750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317,084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159,408</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544,615</w:t>
            </w:r>
          </w:p>
        </w:tc>
        <w:tc>
          <w:tcPr>
            <w:tcW w:w="0" w:type="dxa"/>
            <w:vAlign w:val="bottom"/>
          </w:tcPr>
          <w:p>
            <w:pPr>
              <w:spacing w:after="0"/>
              <w:rPr>
                <w:sz w:val="1"/>
                <w:szCs w:val="1"/>
                <w:color w:val="auto"/>
              </w:rPr>
            </w:pPr>
          </w:p>
        </w:tc>
      </w:tr>
      <w:tr>
        <w:trPr>
          <w:trHeight w:val="159"/>
        </w:trPr>
        <w:tc>
          <w:tcPr>
            <w:tcW w:w="51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255,515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201,111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79,392</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strategic investments, net</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34,712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13,630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on marketable securities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(117,259)</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(102,597)</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93,809</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67,576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296,636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257,209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1,001,314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(1,576,853)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(2,094,587)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697,349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1,306,676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791,906</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(92,049)</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(466,027)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(144,204)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(508,361)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(1,364,182)</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for employee stock purchase plan</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34,605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37,846</w:t>
            </w:r>
          </w:p>
        </w:tc>
        <w:tc>
          <w:tcPr>
            <w:tcW w:w="0" w:type="dxa"/>
            <w:vAlign w:val="bottom"/>
          </w:tcPr>
          <w:p>
            <w:pPr>
              <w:spacing w:after="0"/>
              <w:rPr>
                <w:sz w:val="1"/>
                <w:szCs w:val="1"/>
                <w:color w:val="auto"/>
              </w:rPr>
            </w:pPr>
          </w:p>
        </w:tc>
      </w:tr>
      <w:tr>
        <w:trPr>
          <w:trHeight w:val="159"/>
        </w:trPr>
        <w:tc>
          <w:tcPr>
            <w:tcW w:w="51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Proceeds from employee equity transactions (remitted) to be remitted to</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employees and tax authorities, net</w:t>
            </w: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97"/>
        </w:trPr>
        <w:tc>
          <w:tcPr>
            <w:tcW w:w="510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(255,578)</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71,383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(388,821)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65,104</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(471,082)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395,191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(129,933)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(297,764)</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1,414,502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2,293,116</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943,420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1,995,352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943,420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1,995,352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5"/>
                <w:szCs w:val="15"/>
                <w:color w:val="auto"/>
              </w:rPr>
            </w:pPr>
          </w:p>
        </w:tc>
        <w:tc>
          <w:tcPr>
            <w:tcW w:w="28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121,743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294,603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308,808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520,915</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262,592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475,454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221,117</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66,916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9,397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13,331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16,604</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393,732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424,665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793,367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825,552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26.3 %</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41.7 %</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net income attributable to common stockholders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45,746</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316,930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159,389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544,306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262,592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475,454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221,117</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66,916</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(gains) on strategic investments, net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34,712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(32,076)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71,116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(32,076)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16,604</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(75,812)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323,485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415,070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639,271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817,176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Non-GAAP net income per share - basic</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Non-GAAP net income per share - diluted</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per share - basic</w:t>
            </w: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298,553,379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295,712,675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298,865,676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294,769,619</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per share - diluted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307,160,840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305,861,051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306,902,964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305,652,628</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257,209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468,012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783,360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1,001,314</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(27,832)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(12,975)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(52,870)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(92,049)</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229,377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455,037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730,490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909,265</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 Litigation settlement payments, net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(non-GAAP)</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222,067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455,037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723,180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909,265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(466,027)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(144,204)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(508,361)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(1,364,182)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(255,578)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71,383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(388,821)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65,104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23.4 %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45.8 %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36.0 %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50.6 %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margin (non-GAAP)</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2022-08-22T15:13:17Z</dcterms:created>
  <dcterms:modified xsi:type="dcterms:W3CDTF">2022-08-22T15:13:17Z</dcterms:modified>
</cp:coreProperties>
</file>