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0001773806</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835"/>
        </w:trPr>
        <w:tc>
          <w:tcPr>
            <w:tcW w:w="67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w w:val="97"/>
              </w:rPr>
              <w:t>Zoom Communications,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001-38865</w:t>
            </w:r>
          </w:p>
        </w:tc>
      </w:tr>
      <w:tr>
        <w:trPr>
          <w:trHeight w:val="258"/>
        </w:trPr>
        <w:tc>
          <w:tcPr>
            <w:tcW w:w="300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55 Almaden Blvd</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6th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80" w:type="dxa"/>
            <w:vAlign w:val="bottom"/>
          </w:tcPr>
          <w:p>
            <w:pPr>
              <w:spacing w:after="0"/>
              <w:rPr>
                <w:sz w:val="21"/>
                <w:szCs w:val="21"/>
                <w:color w:val="auto"/>
              </w:rPr>
            </w:pPr>
          </w:p>
        </w:tc>
        <w:tc>
          <w:tcPr>
            <w:tcW w:w="35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San Jose</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95113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1-888-799-9666</w:t>
            </w:r>
          </w:p>
        </w:tc>
      </w:tr>
      <w:tr>
        <w:trPr>
          <w:trHeight w:val="297"/>
        </w:trPr>
        <w:tc>
          <w:tcPr>
            <w:tcW w:w="67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Santiago Subotovsky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7425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576105.75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260280054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07/02/2025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760" w:type="dxa"/>
            <w:vAlign w:val="bottom"/>
          </w:tcPr>
          <w:p>
            <w:pPr>
              <w:ind w:left="13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36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40" w:type="dxa"/>
            <w:vAlign w:val="bottom"/>
          </w:tcPr>
          <w:p>
            <w:pPr>
              <w:spacing w:after="0"/>
              <w:rPr>
                <w:sz w:val="22"/>
                <w:szCs w:val="22"/>
                <w:color w:val="auto"/>
              </w:rPr>
            </w:pPr>
          </w:p>
        </w:tc>
      </w:tr>
      <w:tr>
        <w:trPr>
          <w:trHeight w:val="286"/>
        </w:trPr>
        <w:tc>
          <w:tcPr>
            <w:tcW w:w="14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36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40" w:type="dxa"/>
            <w:vAlign w:val="bottom"/>
          </w:tcPr>
          <w:p>
            <w:pPr>
              <w:spacing w:after="0"/>
              <w:rPr>
                <w:sz w:val="24"/>
                <w:szCs w:val="24"/>
                <w:color w:val="auto"/>
              </w:rPr>
            </w:pPr>
          </w:p>
        </w:tc>
      </w:tr>
      <w:tr>
        <w:trPr>
          <w:trHeight w:val="271"/>
        </w:trPr>
        <w:tc>
          <w:tcPr>
            <w:tcW w:w="1420" w:type="dxa"/>
            <w:vAlign w:val="bottom"/>
          </w:tcPr>
          <w:p>
            <w:pPr>
              <w:spacing w:after="0"/>
              <w:rPr>
                <w:sz w:val="23"/>
                <w:szCs w:val="23"/>
                <w:color w:val="auto"/>
              </w:rPr>
            </w:pPr>
          </w:p>
        </w:tc>
        <w:tc>
          <w:tcPr>
            <w:tcW w:w="27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Acquired from a</w:t>
            </w:r>
          </w:p>
        </w:tc>
        <w:tc>
          <w:tcPr>
            <w:tcW w:w="136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16"/>
        </w:trPr>
        <w:tc>
          <w:tcPr>
            <w:tcW w:w="14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Class A</w:t>
            </w:r>
          </w:p>
        </w:tc>
        <w:tc>
          <w:tcPr>
            <w:tcW w:w="2760" w:type="dxa"/>
            <w:vAlign w:val="bottom"/>
          </w:tcPr>
          <w:p>
            <w:pPr>
              <w:ind w:left="1100"/>
              <w:spacing w:after="0" w:line="217" w:lineRule="exact"/>
              <w:rPr>
                <w:sz w:val="20"/>
                <w:szCs w:val="20"/>
                <w:color w:val="auto"/>
              </w:rPr>
            </w:pPr>
            <w:r>
              <w:rPr>
                <w:rFonts w:ascii="Times New Roman" w:cs="Times New Roman" w:eastAsia="Times New Roman" w:hAnsi="Times New Roman"/>
                <w:sz w:val="22"/>
                <w:szCs w:val="22"/>
                <w:color w:val="auto"/>
              </w:rPr>
              <w:t>distribution by a</w:t>
            </w:r>
          </w:p>
        </w:tc>
        <w:tc>
          <w:tcPr>
            <w:tcW w:w="136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Emergence</w:t>
            </w:r>
          </w:p>
        </w:tc>
        <w:tc>
          <w:tcPr>
            <w:tcW w:w="28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70"/>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760" w:type="dxa"/>
            <w:vAlign w:val="bottom"/>
          </w:tcPr>
          <w:p>
            <w:pPr>
              <w:ind w:left="60"/>
              <w:spacing w:after="0" w:line="269" w:lineRule="exact"/>
              <w:rPr>
                <w:sz w:val="20"/>
                <w:szCs w:val="20"/>
                <w:color w:val="auto"/>
              </w:rPr>
            </w:pPr>
            <w:r>
              <w:rPr>
                <w:rFonts w:ascii="Times New Roman" w:cs="Times New Roman" w:eastAsia="Times New Roman" w:hAnsi="Times New Roman"/>
                <w:sz w:val="31"/>
                <w:szCs w:val="31"/>
                <w:color w:val="auto"/>
                <w:vertAlign w:val="superscript"/>
              </w:rPr>
              <w:t>12/01/2014</w:t>
            </w:r>
            <w:r>
              <w:rPr>
                <w:rFonts w:ascii="Times New Roman" w:cs="Times New Roman" w:eastAsia="Times New Roman" w:hAnsi="Times New Roman"/>
                <w:sz w:val="17"/>
                <w:szCs w:val="17"/>
                <w:color w:val="auto"/>
              </w:rPr>
              <w:t xml:space="preserve"> partnership or</w:t>
            </w:r>
          </w:p>
        </w:tc>
        <w:tc>
          <w:tcPr>
            <w:tcW w:w="1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Fund</w:t>
            </w:r>
          </w:p>
        </w:tc>
        <w:tc>
          <w:tcPr>
            <w:tcW w:w="28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rPr>
              <w:t>7425</w:t>
            </w:r>
          </w:p>
        </w:tc>
        <w:tc>
          <w:tcPr>
            <w:tcW w:w="16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12/01/2014 None</w:t>
            </w:r>
          </w:p>
        </w:tc>
      </w:tr>
      <w:tr>
        <w:trPr>
          <w:trHeight w:val="282"/>
        </w:trPr>
        <w:tc>
          <w:tcPr>
            <w:tcW w:w="1420" w:type="dxa"/>
            <w:vAlign w:val="bottom"/>
          </w:tcPr>
          <w:p>
            <w:pPr>
              <w:spacing w:after="0"/>
              <w:rPr>
                <w:sz w:val="24"/>
                <w:szCs w:val="24"/>
                <w:color w:val="auto"/>
              </w:rPr>
            </w:pPr>
          </w:p>
        </w:tc>
        <w:tc>
          <w:tcPr>
            <w:tcW w:w="276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9"/>
              </w:rPr>
              <w:t>investment vehicle</w:t>
            </w:r>
          </w:p>
        </w:tc>
        <w:tc>
          <w:tcPr>
            <w:tcW w:w="13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-384175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0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30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Santiago Subotovsky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55 Almaden Blvd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04/24/2025 2475</w:t>
            </w:r>
          </w:p>
        </w:tc>
        <w:tc>
          <w:tcPr>
            <w:tcW w:w="800" w:type="dxa"/>
            <w:vAlign w:val="bottom"/>
          </w:tcPr>
          <w:p>
            <w:pPr>
              <w:spacing w:after="0"/>
              <w:rPr>
                <w:sz w:val="21"/>
                <w:szCs w:val="21"/>
                <w:color w:val="auto"/>
              </w:rPr>
            </w:pP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186683.81</w:t>
            </w: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20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20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Jose  CA</w:t>
            </w:r>
          </w:p>
        </w:tc>
        <w:tc>
          <w:tcPr>
            <w:tcW w:w="204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95113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Santiago Subotovsky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55 Almaden Blvd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05/05/2025 2475</w:t>
            </w:r>
          </w:p>
        </w:tc>
        <w:tc>
          <w:tcPr>
            <w:tcW w:w="800" w:type="dxa"/>
            <w:vAlign w:val="bottom"/>
          </w:tcPr>
          <w:p>
            <w:pPr>
              <w:spacing w:after="0"/>
              <w:rPr>
                <w:sz w:val="21"/>
                <w:szCs w:val="21"/>
                <w:color w:val="auto"/>
              </w:rPr>
            </w:pP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195087.17</w:t>
            </w: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20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20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Jose  CA</w:t>
            </w:r>
          </w:p>
        </w:tc>
        <w:tc>
          <w:tcPr>
            <w:tcW w:w="204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95113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Santiago Subotovsky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55 Almaden Blvd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06/03/2025 2475</w:t>
            </w:r>
          </w:p>
        </w:tc>
        <w:tc>
          <w:tcPr>
            <w:tcW w:w="800" w:type="dxa"/>
            <w:vAlign w:val="bottom"/>
          </w:tcPr>
          <w:p>
            <w:pPr>
              <w:spacing w:after="0"/>
              <w:rPr>
                <w:sz w:val="21"/>
                <w:szCs w:val="21"/>
                <w:color w:val="auto"/>
              </w:rPr>
            </w:pP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199663.45</w:t>
            </w: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20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20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Jose  CA</w:t>
            </w:r>
          </w:p>
        </w:tc>
        <w:tc>
          <w:tcPr>
            <w:tcW w:w="204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95113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The sales of shares set forth herein are made in connection with a selling plan dated 12/19/2024, that is intended to comply with Rule 10b5-1(c).</w:t>
      </w:r>
    </w:p>
    <w:p>
      <w:pPr>
        <w:spacing w:after="0"/>
        <w:rPr>
          <w:sz w:val="20"/>
          <w:szCs w:val="20"/>
          <w:color w:val="auto"/>
        </w:rPr>
      </w:pPr>
      <w:r>
        <w:rPr>
          <w:rFonts w:ascii="Times New Roman" w:cs="Times New Roman" w:eastAsia="Times New Roman" w:hAnsi="Times New Roman"/>
          <w:sz w:val="22"/>
          <w:szCs w:val="22"/>
          <w:color w:val="auto"/>
        </w:rPr>
        <w:t>07/02/2025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12/19/2024</w:t>
      </w:r>
    </w:p>
    <w:p>
      <w:pPr>
        <w:spacing w:after="0" w:line="612" w:lineRule="exact"/>
        <w:rPr>
          <w:sz w:val="20"/>
          <w:szCs w:val="20"/>
          <w:color w:val="auto"/>
        </w:rPr>
      </w:pPr>
    </w:p>
    <w:p>
      <w:pPr>
        <w:sectPr>
          <w:pgSz w:w="11900" w:h="16838" w:orient="portrait"/>
          <w:cols w:equalWidth="0" w:num="2">
            <w:col w:w="3380" w:space="480"/>
            <w:col w:w="73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Santiago Subotovsky</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2025-07-02T15:45:49Z</dcterms:created>
  <dcterms:modified xsi:type="dcterms:W3CDTF">2025-07-02T15:45:49Z</dcterms:modified>
</cp:coreProperties>
</file>