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Crehan Shane</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40"/>
        <w:spacing w:after="0" w:line="395"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2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95113</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Zoom Video Communications,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ZM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88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line="133"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2800" w:type="dxa"/>
            <w:vAlign w:val="bottom"/>
            <w:gridSpan w:val="2"/>
            <w:vMerge w:val="restart"/>
          </w:tcPr>
          <w:p>
            <w:pPr>
              <w:ind w:left="260"/>
              <w:spacing w:after="0"/>
              <w:rPr>
                <w:sz w:val="20"/>
                <w:szCs w:val="20"/>
                <w:color w:val="auto"/>
              </w:rPr>
            </w:pPr>
            <w:r>
              <w:rPr>
                <w:rFonts w:ascii="Arial" w:cs="Arial" w:eastAsia="Arial" w:hAnsi="Arial"/>
                <w:sz w:val="17"/>
                <w:szCs w:val="17"/>
                <w:color w:val="0000FF"/>
              </w:rPr>
              <w:t>Chief Accounting Officer</w:t>
            </w:r>
          </w:p>
        </w:tc>
        <w:tc>
          <w:tcPr>
            <w:tcW w:w="0" w:type="dxa"/>
            <w:vAlign w:val="bottom"/>
          </w:tcPr>
          <w:p>
            <w:pPr>
              <w:spacing w:after="0"/>
              <w:rPr>
                <w:sz w:val="1"/>
                <w:szCs w:val="1"/>
                <w:color w:val="auto"/>
              </w:rPr>
            </w:pPr>
          </w:p>
        </w:tc>
      </w:tr>
      <w:tr>
        <w:trPr>
          <w:trHeight w:val="220"/>
        </w:trPr>
        <w:tc>
          <w:tcPr>
            <w:tcW w:w="3080" w:type="dxa"/>
            <w:vAlign w:val="bottom"/>
            <w:gridSpan w:val="3"/>
          </w:tcPr>
          <w:p>
            <w:pPr>
              <w:ind w:left="80"/>
              <w:spacing w:after="0"/>
              <w:rPr>
                <w:sz w:val="20"/>
                <w:szCs w:val="20"/>
                <w:color w:val="auto"/>
              </w:rPr>
            </w:pPr>
            <w:r>
              <w:rPr>
                <w:rFonts w:ascii="Arial" w:cs="Arial" w:eastAsia="Arial" w:hAnsi="Arial"/>
                <w:sz w:val="17"/>
                <w:szCs w:val="17"/>
                <w:color w:val="0000FF"/>
              </w:rPr>
              <w:t>12/13/2021</w:t>
            </w: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405"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3"/>
                <w:szCs w:val="13"/>
                <w:color w:val="auto"/>
              </w:rPr>
            </w:pP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tcBorders>
              <w:bottom w:val="single" w:sz="8" w:color="2C2C2C"/>
            </w:tcBorders>
            <w:gridSpan w:val="2"/>
          </w:tcPr>
          <w:p>
            <w:pPr>
              <w:ind w:left="600"/>
              <w:spacing w:after="0"/>
              <w:rPr>
                <w:sz w:val="20"/>
                <w:szCs w:val="20"/>
                <w:color w:val="auto"/>
              </w:rPr>
            </w:pPr>
            <w:r>
              <w:rPr>
                <w:rFonts w:ascii="Arial" w:cs="Arial" w:eastAsia="Arial" w:hAnsi="Arial"/>
                <w:sz w:val="17"/>
                <w:szCs w:val="17"/>
                <w:color w:val="0000FF"/>
              </w:rPr>
              <w:t>12/10/2021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rPr>
              <w:t>A</w:t>
            </w:r>
          </w:p>
        </w:tc>
        <w:tc>
          <w:tcPr>
            <w:tcW w:w="36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V</w:t>
            </w:r>
          </w:p>
        </w:tc>
        <w:tc>
          <w:tcPr>
            <w:tcW w:w="7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50</w:t>
            </w:r>
          </w:p>
        </w:tc>
        <w:tc>
          <w:tcPr>
            <w:tcW w:w="4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297"/>
              <w:spacing w:after="0"/>
              <w:rPr>
                <w:sz w:val="20"/>
                <w:szCs w:val="20"/>
                <w:color w:val="auto"/>
              </w:rPr>
            </w:pPr>
            <w:r>
              <w:rPr>
                <w:rFonts w:ascii="Arial" w:cs="Arial" w:eastAsia="Arial" w:hAnsi="Arial"/>
                <w:sz w:val="17"/>
                <w:szCs w:val="17"/>
                <w:color w:val="0000FF"/>
              </w:rPr>
              <w:t>1,825</w:t>
            </w:r>
            <w:r>
              <w:rPr>
                <w:rFonts w:ascii="Arial" w:cs="Arial" w:eastAsia="Arial" w:hAnsi="Arial"/>
                <w:sz w:val="22"/>
                <w:szCs w:val="22"/>
                <w:color w:val="008000"/>
                <w:vertAlign w:val="superscript"/>
              </w:rPr>
              <w:t>(1)</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tcBorders>
              <w:bottom w:val="single" w:sz="8" w:color="2C2C2C"/>
            </w:tcBorders>
            <w:gridSpan w:val="2"/>
          </w:tcPr>
          <w:p>
            <w:pPr>
              <w:ind w:left="600"/>
              <w:spacing w:after="0"/>
              <w:rPr>
                <w:sz w:val="20"/>
                <w:szCs w:val="20"/>
                <w:color w:val="auto"/>
              </w:rPr>
            </w:pPr>
            <w:r>
              <w:rPr>
                <w:rFonts w:ascii="Arial" w:cs="Arial" w:eastAsia="Arial" w:hAnsi="Arial"/>
                <w:sz w:val="17"/>
                <w:szCs w:val="17"/>
                <w:color w:val="0000FF"/>
              </w:rPr>
              <w:t>12/13/2021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(2)</w:t>
            </w:r>
          </w:p>
        </w:tc>
        <w:tc>
          <w:tcPr>
            <w:tcW w:w="3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50</w:t>
            </w:r>
          </w:p>
        </w:tc>
        <w:tc>
          <w:tcPr>
            <w:tcW w:w="4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182.07</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right"/>
              <w:ind w:right="377"/>
              <w:spacing w:after="0"/>
              <w:rPr>
                <w:sz w:val="20"/>
                <w:szCs w:val="20"/>
                <w:color w:val="auto"/>
              </w:rPr>
            </w:pPr>
            <w:r>
              <w:rPr>
                <w:rFonts w:ascii="Arial" w:cs="Arial" w:eastAsia="Arial" w:hAnsi="Arial"/>
                <w:sz w:val="17"/>
                <w:szCs w:val="17"/>
                <w:color w:val="0000FF"/>
                <w:w w:val="84"/>
              </w:rPr>
              <w:t>1,775</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00" w:firstLine="7"/>
        <w:spacing w:after="0" w:line="30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Shares of Class A Common Stock purchased pursuant to the Zoom Video Communications, Inc. 2019 Employee Stock Purchase Plan ("ESPP"), for the purchase period of June 14, 2021 to December 10, 2021. In accordance with the ESPP, these shares were purchased at a price equal to 85% of the closing price of Issuer's Class A Common Stock on December 10, 2021.</w:t>
      </w: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30" w:lineRule="auto"/>
        <w:rPr>
          <w:sz w:val="20"/>
          <w:szCs w:val="20"/>
          <w:color w:val="auto"/>
        </w:rPr>
      </w:pPr>
      <w:r>
        <w:rPr>
          <w:rFonts w:ascii="Arial" w:cs="Arial" w:eastAsia="Arial" w:hAnsi="Arial"/>
          <w:sz w:val="17"/>
          <w:szCs w:val="17"/>
          <w:color w:val="0000FF"/>
        </w:rPr>
        <w:t xml:space="preserve">/s/ Aparna Bawa, Attorney-in- </w:t>
      </w:r>
      <w:r>
        <w:rPr>
          <w:rFonts w:ascii="Arial" w:cs="Arial" w:eastAsia="Arial" w:hAnsi="Arial"/>
          <w:sz w:val="34"/>
          <w:szCs w:val="34"/>
          <w:color w:val="0000FF"/>
          <w:vertAlign w:val="subscript"/>
        </w:rPr>
        <w:t>12/15/2021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79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65578"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2021-12-15T17:38:00Z</dcterms:created>
  <dcterms:modified xsi:type="dcterms:W3CDTF">2021-12-15T17:38:00Z</dcterms:modified>
</cp:coreProperties>
</file>