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13d-102)</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40" w:hanging="436"/>
        <w:spacing w:after="0" w:line="308"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140" w:firstLine="441"/>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tabs>
          <w:tab w:leader="none" w:pos="5560" w:val="left"/>
          <w:tab w:leader="none" w:pos="1010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20"/>
          <w:szCs w:val="20"/>
          <w:color w:val="auto"/>
        </w:rPr>
        <w:t>13G</w:t>
      </w:r>
      <w:r>
        <w:rPr>
          <w:sz w:val="20"/>
          <w:szCs w:val="20"/>
          <w:color w:val="auto"/>
        </w:rPr>
        <w:tab/>
      </w:r>
      <w:r>
        <w:rPr>
          <w:rFonts w:ascii="Arial" w:cs="Arial" w:eastAsia="Arial" w:hAnsi="Arial"/>
          <w:sz w:val="16"/>
          <w:szCs w:val="16"/>
          <w:color w:val="auto"/>
        </w:rPr>
        <w:t>Page 1 of 4</w:t>
      </w:r>
    </w:p>
    <w:p>
      <w:pPr>
        <w:spacing w:after="0" w:line="164" w:lineRule="exact"/>
        <w:rPr>
          <w:sz w:val="20"/>
          <w:szCs w:val="20"/>
          <w:color w:val="auto"/>
        </w:rPr>
      </w:pPr>
    </w:p>
    <w:p>
      <w:pPr>
        <w:ind w:left="800" w:hanging="549"/>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salesforce.com, inc.</w:t>
      </w:r>
    </w:p>
    <w:p>
      <w:pPr>
        <w:spacing w:after="0" w:line="24" w:lineRule="exact"/>
        <w:rPr>
          <w:sz w:val="20"/>
          <w:szCs w:val="20"/>
          <w:color w:val="auto"/>
        </w:rPr>
      </w:pPr>
    </w:p>
    <w:p>
      <w:pPr>
        <w:ind w:left="800" w:hanging="549"/>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00" w:hanging="549"/>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00" w:hanging="549"/>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620"/>
        <w:spacing w:after="0"/>
        <w:tabs>
          <w:tab w:leader="none" w:pos="1920" w:val="left"/>
        </w:tabs>
        <w:rPr>
          <w:sz w:val="20"/>
          <w:szCs w:val="20"/>
          <w:color w:val="auto"/>
        </w:rPr>
      </w:pPr>
      <w:r>
        <w:rPr>
          <w:rFonts w:ascii="Arial" w:cs="Arial" w:eastAsia="Arial" w:hAnsi="Arial"/>
          <w:sz w:val="18"/>
          <w:szCs w:val="18"/>
          <w:color w:val="auto"/>
        </w:rPr>
        <w:t>5.</w:t>
        <w:tab/>
        <w:t>SOLE VOTING POWER</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148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2,777,777</w:t>
            </w:r>
          </w:p>
        </w:tc>
        <w:tc>
          <w:tcPr>
            <w:tcW w:w="0" w:type="dxa"/>
            <w:vAlign w:val="bottom"/>
          </w:tcPr>
          <w:p>
            <w:pPr>
              <w:spacing w:after="0"/>
              <w:rPr>
                <w:sz w:val="1"/>
                <w:szCs w:val="1"/>
                <w:color w:val="auto"/>
              </w:rPr>
            </w:pPr>
          </w:p>
        </w:tc>
      </w:tr>
      <w:tr>
        <w:trPr>
          <w:trHeight w:val="44"/>
        </w:trPr>
        <w:tc>
          <w:tcPr>
            <w:tcW w:w="14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20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Pr>
          <w:p>
            <w:pPr>
              <w:spacing w:after="0"/>
              <w:rPr>
                <w:sz w:val="20"/>
                <w:szCs w:val="20"/>
                <w:color w:val="auto"/>
              </w:rPr>
            </w:pP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1080" w:type="dxa"/>
            <w:vAlign w:val="bottom"/>
          </w:tcPr>
          <w:p>
            <w:pPr>
              <w:jc w:val="center"/>
              <w:ind w:right="187"/>
              <w:spacing w:after="0" w:line="178" w:lineRule="exact"/>
              <w:rPr>
                <w:sz w:val="20"/>
                <w:szCs w:val="20"/>
                <w:color w:val="auto"/>
              </w:rPr>
            </w:pPr>
            <w:r>
              <w:rPr>
                <w:rFonts w:ascii="Arial" w:cs="Arial" w:eastAsia="Arial" w:hAnsi="Arial"/>
                <w:sz w:val="18"/>
                <w:szCs w:val="18"/>
                <w:b w:val="1"/>
                <w:bCs w:val="1"/>
                <w:color w:val="auto"/>
              </w:rPr>
              <w:t>EACH</w:t>
            </w:r>
          </w:p>
        </w:tc>
        <w:tc>
          <w:tcPr>
            <w:tcW w:w="60" w:type="dxa"/>
            <w:vAlign w:val="bottom"/>
            <w:tcBorders>
              <w:top w:val="single" w:sz="8" w:color="auto"/>
            </w:tcBorders>
          </w:tcPr>
          <w:p>
            <w:pPr>
              <w:spacing w:after="0"/>
              <w:rPr>
                <w:sz w:val="15"/>
                <w:szCs w:val="15"/>
                <w:color w:val="auto"/>
              </w:rPr>
            </w:pPr>
          </w:p>
        </w:tc>
        <w:tc>
          <w:tcPr>
            <w:tcW w:w="9480" w:type="dxa"/>
            <w:vAlign w:val="bottom"/>
            <w:tcBorders>
              <w:top w:val="single" w:sz="8" w:color="auto"/>
            </w:tcBorders>
            <w:gridSpan w:val="2"/>
          </w:tcPr>
          <w:p>
            <w:pPr>
              <w:ind w:left="60"/>
              <w:spacing w:after="0" w:line="178" w:lineRule="exact"/>
              <w:rPr>
                <w:sz w:val="20"/>
                <w:szCs w:val="20"/>
                <w:color w:val="auto"/>
              </w:rPr>
            </w:pPr>
            <w:r>
              <w:rPr>
                <w:rFonts w:ascii="Arial" w:cs="Arial" w:eastAsia="Arial" w:hAnsi="Arial"/>
                <w:sz w:val="18"/>
                <w:szCs w:val="18"/>
                <w:color w:val="auto"/>
              </w:rPr>
              <w:t>7.  SOLE DISPOSITIVE POWER</w:t>
            </w:r>
          </w:p>
        </w:tc>
        <w:tc>
          <w:tcPr>
            <w:tcW w:w="0" w:type="dxa"/>
            <w:vAlign w:val="bottom"/>
          </w:tcPr>
          <w:p>
            <w:pPr>
              <w:spacing w:after="0"/>
              <w:rPr>
                <w:sz w:val="1"/>
                <w:szCs w:val="1"/>
                <w:color w:val="auto"/>
              </w:rPr>
            </w:pPr>
          </w:p>
        </w:tc>
      </w:tr>
      <w:tr>
        <w:trPr>
          <w:trHeight w:val="216"/>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200" w:type="dxa"/>
            <w:vAlign w:val="bottom"/>
          </w:tcPr>
          <w:p>
            <w:pPr>
              <w:ind w:left="100"/>
              <w:spacing w:after="0" w:line="248" w:lineRule="exact"/>
              <w:rPr>
                <w:sz w:val="20"/>
                <w:szCs w:val="20"/>
                <w:color w:val="auto"/>
              </w:rPr>
            </w:pPr>
            <w:r>
              <w:rPr>
                <w:rFonts w:ascii="Arial" w:cs="Arial" w:eastAsia="Arial" w:hAnsi="Arial"/>
                <w:sz w:val="22"/>
                <w:szCs w:val="22"/>
                <w:color w:val="auto"/>
              </w:rPr>
              <w:t>2,777,777</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80" w:type="dxa"/>
            <w:vAlign w:val="bottom"/>
            <w:vMerge w:val="restart"/>
          </w:tcPr>
          <w:p>
            <w:pPr>
              <w:jc w:val="center"/>
              <w:ind w:right="167"/>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7"/>
        </w:trPr>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62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2,777,777</w:t>
            </w:r>
          </w:p>
        </w:tc>
        <w:tc>
          <w:tcPr>
            <w:tcW w:w="9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00" w:hanging="639"/>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2.5%</w:t>
      </w:r>
      <w:r>
        <w:rPr>
          <w:rFonts w:ascii="Arial" w:cs="Arial" w:eastAsia="Arial" w:hAnsi="Arial"/>
          <w:sz w:val="18"/>
          <w:szCs w:val="18"/>
          <w:color w:val="auto"/>
        </w:rPr>
        <w:t>1</w:t>
      </w:r>
    </w:p>
    <w:p>
      <w:pPr>
        <w:spacing w:after="0" w:line="24" w:lineRule="exact"/>
        <w:rPr>
          <w:sz w:val="20"/>
          <w:szCs w:val="20"/>
          <w:color w:val="auto"/>
        </w:rPr>
      </w:pPr>
    </w:p>
    <w:p>
      <w:pPr>
        <w:ind w:left="800" w:hanging="639"/>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63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93" w:lineRule="exact"/>
        <w:rPr>
          <w:sz w:val="20"/>
          <w:szCs w:val="20"/>
          <w:color w:val="auto"/>
        </w:rPr>
      </w:pPr>
    </w:p>
    <w:p>
      <w:pPr>
        <w:ind w:left="440" w:right="280" w:hanging="436"/>
        <w:spacing w:after="0" w:line="264"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percentage is calculated based upon 111,794,527 shares of outstanding Class A common stock as of November 22, 2019, as reported in the Issuer’s Quarterly Report on Form 10-Q for the quarter ended October 21, 2019, filed with the Securities and Exchange Commission on December 9, 2019.</w:t>
      </w:r>
    </w:p>
    <w:p>
      <w:pPr>
        <w:sectPr>
          <w:pgSz w:w="11900" w:h="16838" w:orient="portrait"/>
          <w:cols w:equalWidth="0" w:num="1">
            <w:col w:w="11040"/>
          </w:cols>
          <w:pgMar w:left="440" w:top="271" w:right="419" w:bottom="1440" w:gutter="0" w:footer="0" w:header="0"/>
        </w:sectPr>
      </w:pPr>
    </w:p>
    <w:bookmarkStart w:id="2" w:name="page3"/>
    <w:bookmarkEnd w:id="2"/>
    <w:p>
      <w:pPr>
        <w:spacing w:after="0"/>
        <w:tabs>
          <w:tab w:leader="none" w:pos="5560" w:val="left"/>
          <w:tab w:leader="none" w:pos="1010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20"/>
          <w:szCs w:val="20"/>
          <w:color w:val="auto"/>
        </w:rPr>
        <w:t>13G</w:t>
      </w:r>
      <w:r>
        <w:rPr>
          <w:sz w:val="20"/>
          <w:szCs w:val="20"/>
          <w:color w:val="auto"/>
        </w:rPr>
        <w:tab/>
      </w:r>
      <w:r>
        <w:rPr>
          <w:rFonts w:ascii="Arial" w:cs="Arial" w:eastAsia="Arial" w:hAnsi="Arial"/>
          <w:sz w:val="16"/>
          <w:szCs w:val="16"/>
          <w:color w:val="auto"/>
        </w:rPr>
        <w:t>Page 2 of 4</w:t>
      </w:r>
    </w:p>
    <w:p>
      <w:pPr>
        <w:spacing w:after="0" w:line="14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Zoom Video Communications, Inc., a Delaware corporation (“Issuer”)</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Jose, CA 95113</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Schedule 13G is filed by salesforce.com, inc. (“Salesforce”).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principal business address of Salesforce is 415 Mission Street, 3rd Floor, San Francisco, CA 94105.</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Salesforce is a Delaware corporation.</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Class A common stock, par value $0.001</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98980L101</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35" w:lineRule="exact"/>
        <w:rPr>
          <w:sz w:val="20"/>
          <w:szCs w:val="20"/>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Act (15 U.S.C. 78o).</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as defined in section 3(a)(6) of the Act (15 U.S.C. 78c).</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Act (15 U.S.C. 78c).</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investment adviser in accordance with §240.13d-1(b)(1)(ii)(E).</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 240.13d-1(b)(1)(ii)(G).</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1540" w:right="240" w:hanging="442"/>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Group, in accordance with §240.13d-1(b)(1)(ii)(K).</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6" w:lineRule="exact"/>
        <w:rPr>
          <w:sz w:val="20"/>
          <w:szCs w:val="20"/>
          <w:color w:val="auto"/>
        </w:rPr>
      </w:pPr>
    </w:p>
    <w:p>
      <w:pPr>
        <w:ind w:left="1100" w:right="7440" w:hanging="2"/>
        <w:spacing w:after="0" w:line="440" w:lineRule="auto"/>
        <w:tabs>
          <w:tab w:leader="none" w:pos="15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 beneficially owned: See Cover Page Item 9.</w:t>
      </w:r>
    </w:p>
    <w:p>
      <w:pPr>
        <w:sectPr>
          <w:pgSz w:w="11900" w:h="16838" w:orient="portrait"/>
          <w:cols w:equalWidth="0" w:num="1">
            <w:col w:w="11020"/>
          </w:cols>
          <w:pgMar w:left="440" w:top="271" w:right="439" w:bottom="1440" w:gutter="0" w:footer="0" w:header="0"/>
        </w:sectPr>
      </w:pPr>
    </w:p>
    <w:bookmarkStart w:id="3" w:name="page4"/>
    <w:bookmarkEnd w:id="3"/>
    <w:p>
      <w:pPr>
        <w:spacing w:after="0"/>
        <w:tabs>
          <w:tab w:leader="none" w:pos="5560" w:val="left"/>
          <w:tab w:leader="none" w:pos="1010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20"/>
          <w:szCs w:val="20"/>
          <w:color w:val="auto"/>
        </w:rPr>
        <w:t>13G</w:t>
      </w:r>
      <w:r>
        <w:rPr>
          <w:sz w:val="20"/>
          <w:szCs w:val="20"/>
          <w:color w:val="auto"/>
        </w:rPr>
        <w:tab/>
      </w:r>
      <w:r>
        <w:rPr>
          <w:rFonts w:ascii="Arial" w:cs="Arial" w:eastAsia="Arial" w:hAnsi="Arial"/>
          <w:sz w:val="16"/>
          <w:szCs w:val="16"/>
          <w:color w:val="auto"/>
        </w:rPr>
        <w:t>Page 3 of 4</w:t>
      </w:r>
    </w:p>
    <w:p>
      <w:pPr>
        <w:spacing w:after="0" w:line="151" w:lineRule="exact"/>
        <w:rPr>
          <w:sz w:val="20"/>
          <w:szCs w:val="20"/>
          <w:color w:val="auto"/>
        </w:rPr>
      </w:pPr>
    </w:p>
    <w:p>
      <w:pPr>
        <w:ind w:left="1540" w:hanging="442"/>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See Cover Page Item 11.</w:t>
      </w:r>
    </w:p>
    <w:p>
      <w:pPr>
        <w:spacing w:after="0" w:line="130" w:lineRule="exact"/>
        <w:rPr>
          <w:rFonts w:ascii="Arial" w:cs="Arial" w:eastAsia="Arial" w:hAnsi="Arial"/>
          <w:sz w:val="18"/>
          <w:szCs w:val="18"/>
          <w:color w:val="auto"/>
        </w:rPr>
      </w:pPr>
    </w:p>
    <w:p>
      <w:pPr>
        <w:ind w:left="1540" w:hanging="442"/>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980" w:hanging="437"/>
        <w:spacing w:after="0"/>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 Item 5.</w:t>
      </w:r>
    </w:p>
    <w:p>
      <w:pPr>
        <w:spacing w:after="0" w:line="130" w:lineRule="exact"/>
        <w:rPr>
          <w:rFonts w:ascii="Arial" w:cs="Arial" w:eastAsia="Arial" w:hAnsi="Arial"/>
          <w:sz w:val="18"/>
          <w:szCs w:val="18"/>
          <w:color w:val="auto"/>
        </w:rPr>
      </w:pPr>
    </w:p>
    <w:p>
      <w:pPr>
        <w:ind w:left="1980" w:hanging="437"/>
        <w:spacing w:after="0"/>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 Item 6.</w:t>
      </w:r>
    </w:p>
    <w:p>
      <w:pPr>
        <w:spacing w:after="0" w:line="130" w:lineRule="exact"/>
        <w:rPr>
          <w:rFonts w:ascii="Arial" w:cs="Arial" w:eastAsia="Arial" w:hAnsi="Arial"/>
          <w:sz w:val="18"/>
          <w:szCs w:val="18"/>
          <w:color w:val="auto"/>
        </w:rPr>
      </w:pPr>
    </w:p>
    <w:p>
      <w:pPr>
        <w:ind w:left="1980" w:hanging="437"/>
        <w:spacing w:after="0"/>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 Item 7.</w:t>
      </w:r>
    </w:p>
    <w:p>
      <w:pPr>
        <w:spacing w:after="0" w:line="130" w:lineRule="exact"/>
        <w:rPr>
          <w:rFonts w:ascii="Arial" w:cs="Arial" w:eastAsia="Arial" w:hAnsi="Arial"/>
          <w:sz w:val="18"/>
          <w:szCs w:val="18"/>
          <w:color w:val="auto"/>
        </w:rPr>
      </w:pPr>
    </w:p>
    <w:p>
      <w:pPr>
        <w:ind w:left="1980" w:hanging="437"/>
        <w:spacing w:after="0"/>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Cover Page Item 8.</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00" w:right="58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00" w:right="400"/>
        <w:spacing w:after="0" w:line="277" w:lineRule="auto"/>
        <w:rPr>
          <w:sz w:val="20"/>
          <w:szCs w:val="20"/>
          <w:color w:val="auto"/>
        </w:rPr>
      </w:pPr>
      <w:r>
        <w:rPr>
          <w:rFonts w:ascii="Arial" w:cs="Arial" w:eastAsia="Arial" w:hAnsi="Arial"/>
          <w:sz w:val="18"/>
          <w:szCs w:val="18"/>
          <w:color w:val="auto"/>
        </w:rPr>
        <w:t>Salesforce Ventures LLC, a Delaware limited liability company and a wholly owned subsidiary of Salesforce, is the record owner of 2,777,777 shares of Class A common stock.</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100" w:right="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1" w:right="439" w:bottom="1440" w:gutter="0" w:footer="0" w:header="0"/>
        </w:sectPr>
      </w:pPr>
    </w:p>
    <w:bookmarkStart w:id="4" w:name="page5"/>
    <w:bookmarkEnd w:id="4"/>
    <w:p>
      <w:pPr>
        <w:spacing w:after="0"/>
        <w:tabs>
          <w:tab w:leader="none" w:pos="5560" w:val="left"/>
          <w:tab w:leader="none" w:pos="1010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20"/>
          <w:szCs w:val="20"/>
          <w:color w:val="auto"/>
        </w:rPr>
        <w:t>13G</w:t>
      </w:r>
      <w:r>
        <w:rPr>
          <w:sz w:val="20"/>
          <w:szCs w:val="20"/>
          <w:color w:val="auto"/>
        </w:rPr>
        <w:tab/>
      </w:r>
      <w:r>
        <w:rPr>
          <w:rFonts w:ascii="Arial" w:cs="Arial" w:eastAsia="Arial" w:hAnsi="Arial"/>
          <w:sz w:val="16"/>
          <w:szCs w:val="16"/>
          <w:color w:val="auto"/>
        </w:rPr>
        <w:t>Page 4 of 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SALESFORCE.COM, INC.</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/s/ Amy Weaver</w:t>
      </w:r>
      <w:r>
        <w:rPr>
          <w:sz w:val="20"/>
          <w:szCs w:val="20"/>
          <w:color w:val="auto"/>
        </w:rPr>
        <w:tab/>
      </w:r>
      <w:r>
        <w:rPr>
          <w:rFonts w:ascii="Arial" w:cs="Arial" w:eastAsia="Arial" w:hAnsi="Arial"/>
          <w:sz w:val="16"/>
          <w:szCs w:val="16"/>
          <w:color w:val="auto"/>
        </w:rPr>
        <w:t>February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576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Amy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Legal &amp; Corporate Affairs, General Counsel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020"/>
      </w:cols>
      <w:pgMar w:left="440" w:top="27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2020-02-07T17:00:10Z</dcterms:created>
  <dcterms:modified xsi:type="dcterms:W3CDTF">2020-02-07T17:00:10Z</dcterms:modified>
</cp:coreProperties>
</file>