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41935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193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jc w:val="center"/>
              <w:ind w:righ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w w:val="96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jc w:val="center"/>
              <w:ind w:right="680"/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1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1"/>
                </w:rPr>
                <w:t>Bonus Goal International Ltd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04/23/2019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2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Zoom Video Communications,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ZM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4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1694"/>
        <w:spacing w:after="0" w:line="40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7/F, CHEUNG KONG CENTER 2 QUEEN'S ROAD CENTRAL</w:t>
      </w:r>
    </w:p>
    <w:p>
      <w:pPr>
        <w:spacing w:after="0" w:line="16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(Street)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HONG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KONG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546"/>
        <w:spacing w:after="0"/>
        <w:tabs>
          <w:tab w:leader="none" w:pos="180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338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3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0" w:type="dxa"/>
            <w:vAlign w:val="bottom"/>
            <w:gridSpan w:val="2"/>
          </w:tcPr>
          <w:p>
            <w:pPr>
              <w:ind w:left="6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350,000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62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w w:val="92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2"/>
              </w:rPr>
              <w:t>(2)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6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3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3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3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9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100" w:firstLine="9"/>
        <w:spacing w:after="0" w:line="239" w:lineRule="auto"/>
        <w:tabs>
          <w:tab w:leader="none" w:pos="175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Bonus Goal International Limited ("Bonus Goal") purchased Class A Common Stock at the closing of the Issuer's initial public offering of Class A Common Stock (the "IPO"), at the IPO price of $36.00 per share.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held directly by Bonus Goal. Bonus Goal is wholly-owned by Mayspin Management Limited ("Mayspin"), which is wholly-owned by Li Ka Shing ("Li Ka Shing").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Bonus Goal International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27125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71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Limited, By: /s/ Pau Yee Wan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05/07/2019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Ezra, Director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63119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1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5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625558EC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%1."/>
      <w:numFmt w:val="decimal"/>
      <w:start w:val="1"/>
    </w:lvl>
  </w:abstractNum>
  <w:abstractNum w:abstractNumId="4">
    <w:nsid w:val="46E87CC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1" Type="http://schemas.openxmlformats.org/officeDocument/2006/relationships/hyperlink" Target="http://www.sec.gov/cgi-bin/browse-edgar?action=getcompany&amp;CIK=0001775395" TargetMode="External"/><Relationship Id="rId12" Type="http://schemas.openxmlformats.org/officeDocument/2006/relationships/hyperlink" Target="http://www.sec.gov/cgi-bin/browse-edgar?action=getcompany&amp;CIK=000158552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2019-12-23T16:00:43Z</dcterms:created>
  <dcterms:modified xsi:type="dcterms:W3CDTF">2019-12-23T16:00:43Z</dcterms:modified>
</cp:coreProperties>
</file>