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275830" cy="937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830" cy="9370060"/>
                    </a:xfrm>
                    <a:prstGeom prst="rect">
                      <a:avLst/>
                    </a:prstGeom>
                    <a:noFill/>
                  </pic:spPr>
                </pic:pic>
              </a:graphicData>
            </a:graphic>
          </wp:anchor>
        </w:drawing>
      </w:r>
    </w:p>
    <w:p>
      <w:pPr>
        <w:spacing w:after="0" w:line="43" w:lineRule="exact"/>
        <w:rPr>
          <w:sz w:val="24"/>
          <w:szCs w:val="24"/>
          <w:color w:val="auto"/>
        </w:rPr>
      </w:pPr>
    </w:p>
    <w:p>
      <w:pPr>
        <w:sectPr>
          <w:pgSz w:w="11900" w:h="16842" w:orient="portrait"/>
          <w:cols w:equalWidth="0" w:num="2">
            <w:col w:w="2300" w:space="420"/>
            <w:col w:w="8800"/>
          </w:cols>
          <w:pgMar w:left="240" w:top="223"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20" w:type="dxa"/>
            <w:vAlign w:val="bottom"/>
            <w:gridSpan w:val="3"/>
          </w:tcPr>
          <w:p>
            <w:pPr>
              <w:spacing w:after="0" w:line="18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Zoom Video Communications,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78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4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7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8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vMerge w:val="restart"/>
          </w:tcPr>
          <w:p>
            <w:pPr>
              <w:ind w:left="48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120" w:type="dxa"/>
            <w:vAlign w:val="bottom"/>
            <w:gridSpan w:val="4"/>
            <w:vMerge w:val="restart"/>
          </w:tcPr>
          <w:p>
            <w:pPr>
              <w:ind w:left="160"/>
              <w:spacing w:after="0" w:line="185" w:lineRule="exact"/>
              <w:rPr>
                <w:sz w:val="20"/>
                <w:szCs w:val="20"/>
                <w:color w:val="auto"/>
              </w:rPr>
            </w:pPr>
            <w:r>
              <w:rPr>
                <w:rFonts w:ascii="Arial" w:cs="Arial" w:eastAsia="Arial" w:hAnsi="Arial"/>
                <w:sz w:val="17"/>
                <w:szCs w:val="17"/>
                <w:color w:val="0000FF"/>
              </w:rPr>
              <w:t>01/21/2020</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p>
      <w:pPr>
        <w:ind w:left="543"/>
        <w:spacing w:after="0"/>
        <w:tabs>
          <w:tab w:leader="none" w:pos="1842" w:val="left"/>
          <w:tab w:leader="none" w:pos="21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7" w:lineRule="exact"/>
        <w:rPr>
          <w:sz w:val="20"/>
          <w:szCs w:val="20"/>
          <w:color w:val="auto"/>
        </w:rPr>
      </w:pPr>
    </w:p>
    <w:p>
      <w:pPr>
        <w:sectPr>
          <w:pgSz w:w="11900" w:h="16842" w:orient="portrait"/>
          <w:cols w:equalWidth="0" w:num="2">
            <w:col w:w="7980" w:space="57"/>
            <w:col w:w="3483"/>
          </w:cols>
          <w:pgMar w:left="240" w:top="223" w:right="139" w:bottom="0" w:gutter="0" w:footer="0" w:header="0"/>
          <w:type w:val="continuous"/>
        </w:sectPr>
      </w:pPr>
    </w:p>
    <w:p>
      <w:pPr>
        <w:spacing w:after="0" w:line="183" w:lineRule="exact"/>
        <w:rPr>
          <w:sz w:val="20"/>
          <w:szCs w:val="20"/>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94402</w:t>
            </w:r>
          </w:p>
        </w:tc>
      </w:tr>
      <w:tr>
        <w:trPr>
          <w:trHeight w:val="153"/>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80" w:hanging="3976"/>
        <w:spacing w:after="0" w:line="24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5" w:lineRule="exact"/>
        <w:rPr>
          <w:sz w:val="20"/>
          <w:szCs w:val="20"/>
          <w:color w:val="auto"/>
        </w:rPr>
      </w:pPr>
    </w:p>
    <w:tbl>
      <w:tblPr>
        <w:tblLayout w:type="fixed"/>
        <w:tblInd w:w="20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8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238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ectPr>
          <w:pgSz w:w="11900" w:h="16842" w:orient="portrait"/>
          <w:cols w:equalWidth="0" w:num="2">
            <w:col w:w="7320" w:space="720"/>
            <w:col w:w="348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6"/>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4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60"/>
              <w:spacing w:after="0" w:line="132"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Owned Following   (I) (Instr. 4)</w:t>
            </w:r>
          </w:p>
        </w:tc>
        <w:tc>
          <w:tcPr>
            <w:tcW w:w="11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01/21/2020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line="210" w:lineRule="exact"/>
              <w:rPr>
                <w:sz w:val="20"/>
                <w:szCs w:val="20"/>
                <w:color w:val="auto"/>
              </w:rPr>
            </w:pPr>
            <w:r>
              <w:rPr>
                <w:rFonts w:ascii="Arial" w:cs="Arial" w:eastAsia="Arial" w:hAnsi="Arial"/>
                <w:sz w:val="24"/>
                <w:szCs w:val="24"/>
                <w:color w:val="0000FF"/>
                <w:vertAlign w:val="subscript"/>
              </w:rPr>
              <w:t>C</w:t>
            </w:r>
            <w:r>
              <w:rPr>
                <w:rFonts w:ascii="Arial" w:cs="Arial" w:eastAsia="Arial" w:hAnsi="Arial"/>
                <w:sz w:val="10"/>
                <w:szCs w:val="10"/>
                <w:color w:val="008000"/>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501,412</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line="21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0.00</w:t>
            </w:r>
            <w:r>
              <w:rPr>
                <w:rFonts w:ascii="Arial" w:cs="Arial" w:eastAsia="Arial" w:hAnsi="Arial"/>
                <w:sz w:val="9"/>
                <w:szCs w:val="9"/>
                <w:color w:val="008000"/>
              </w:rPr>
              <w:t>(1)(2)</w:t>
            </w: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color w:val="0000FF"/>
                <w:w w:val="91"/>
              </w:rPr>
              <w:t>501,412</w:t>
            </w: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By</w:t>
            </w:r>
          </w:p>
        </w:tc>
        <w:tc>
          <w:tcPr>
            <w:tcW w:w="6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Emergence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01/21/2020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92"/>
                <w:vertAlign w:val="subscript"/>
              </w:rPr>
              <w:t>J</w:t>
            </w:r>
            <w:r>
              <w:rPr>
                <w:rFonts w:ascii="Arial" w:cs="Arial" w:eastAsia="Arial" w:hAnsi="Arial"/>
                <w:sz w:val="10"/>
                <w:szCs w:val="10"/>
                <w:color w:val="008000"/>
                <w:w w:val="92"/>
              </w:rPr>
              <w:t>(1)(2)</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501,412</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line="210"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4"/>
                <w:szCs w:val="24"/>
                <w:color w:val="0000FF"/>
                <w:vertAlign w:val="subscript"/>
              </w:rPr>
              <w:t>0.00</w:t>
            </w:r>
            <w:r>
              <w:rPr>
                <w:rFonts w:ascii="Arial" w:cs="Arial" w:eastAsia="Arial" w:hAnsi="Arial"/>
                <w:sz w:val="9"/>
                <w:szCs w:val="9"/>
                <w:color w:val="008000"/>
              </w:rPr>
              <w:t>(1)(2)</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Partners III,</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01/21/2020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92"/>
                <w:vertAlign w:val="subscript"/>
              </w:rPr>
              <w:t>C</w:t>
            </w:r>
            <w:r>
              <w:rPr>
                <w:rFonts w:ascii="Arial" w:cs="Arial" w:eastAsia="Arial" w:hAnsi="Arial"/>
                <w:sz w:val="10"/>
                <w:szCs w:val="10"/>
                <w:color w:val="008000"/>
                <w:w w:val="92"/>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61,088</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40" w:type="dxa"/>
            <w:vAlign w:val="bottom"/>
          </w:tcPr>
          <w:p>
            <w:pPr>
              <w:jc w:val="center"/>
              <w:spacing w:after="0" w:line="210"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1600" w:type="dxa"/>
            <w:vAlign w:val="bottom"/>
            <w:gridSpan w:val="3"/>
          </w:tcPr>
          <w:p>
            <w:pPr>
              <w:jc w:val="center"/>
              <w:ind w:right="380"/>
              <w:spacing w:after="0"/>
              <w:rPr>
                <w:sz w:val="20"/>
                <w:szCs w:val="20"/>
                <w:color w:val="auto"/>
              </w:rPr>
            </w:pPr>
            <w:r>
              <w:rPr>
                <w:rFonts w:ascii="Arial" w:cs="Arial" w:eastAsia="Arial" w:hAnsi="Arial"/>
                <w:sz w:val="17"/>
                <w:szCs w:val="17"/>
                <w:color w:val="0000FF"/>
                <w:w w:val="92"/>
              </w:rPr>
              <w:t>61,088</w:t>
            </w: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By EZP</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3"/>
          </w:tcPr>
          <w:p>
            <w:pPr>
              <w:jc w:val="right"/>
              <w:ind w:right="102"/>
              <w:spacing w:after="0"/>
              <w:rPr>
                <w:sz w:val="20"/>
                <w:szCs w:val="20"/>
                <w:color w:val="auto"/>
              </w:rPr>
            </w:pPr>
            <w:r>
              <w:rPr>
                <w:rFonts w:ascii="Arial" w:cs="Arial" w:eastAsia="Arial" w:hAnsi="Arial"/>
                <w:sz w:val="17"/>
                <w:szCs w:val="17"/>
                <w:color w:val="0000FF"/>
              </w:rPr>
              <w:t>01/21/2020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403"/>
              <w:spacing w:after="0" w:line="210" w:lineRule="exact"/>
              <w:rPr>
                <w:sz w:val="20"/>
                <w:szCs w:val="20"/>
                <w:color w:val="auto"/>
              </w:rPr>
            </w:pPr>
            <w:r>
              <w:rPr>
                <w:rFonts w:ascii="Arial" w:cs="Arial" w:eastAsia="Arial" w:hAnsi="Arial"/>
                <w:sz w:val="24"/>
                <w:szCs w:val="24"/>
                <w:color w:val="0000FF"/>
                <w:w w:val="88"/>
                <w:vertAlign w:val="subscript"/>
              </w:rPr>
              <w:t>J</w:t>
            </w:r>
            <w:r>
              <w:rPr>
                <w:rFonts w:ascii="Arial" w:cs="Arial" w:eastAsia="Arial" w:hAnsi="Arial"/>
                <w:sz w:val="10"/>
                <w:szCs w:val="10"/>
                <w:color w:val="008000"/>
                <w:w w:val="88"/>
              </w:rPr>
              <w:t>(4)</w:t>
            </w:r>
          </w:p>
        </w:tc>
        <w:tc>
          <w:tcPr>
            <w:tcW w:w="780" w:type="dxa"/>
            <w:vAlign w:val="bottom"/>
          </w:tcPr>
          <w:p>
            <w:pPr>
              <w:jc w:val="center"/>
              <w:spacing w:after="0"/>
              <w:rPr>
                <w:sz w:val="20"/>
                <w:szCs w:val="20"/>
                <w:color w:val="auto"/>
              </w:rPr>
            </w:pPr>
            <w:r>
              <w:rPr>
                <w:rFonts w:ascii="Arial" w:cs="Arial" w:eastAsia="Arial" w:hAnsi="Arial"/>
                <w:sz w:val="17"/>
                <w:szCs w:val="17"/>
                <w:color w:val="0000FF"/>
                <w:w w:val="88"/>
              </w:rPr>
              <w:t>61,088</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740" w:type="dxa"/>
            <w:vAlign w:val="bottom"/>
          </w:tcPr>
          <w:p>
            <w:pPr>
              <w:jc w:val="center"/>
              <w:spacing w:after="0" w:line="210" w:lineRule="exact"/>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0.00</w:t>
            </w:r>
            <w:r>
              <w:rPr>
                <w:rFonts w:ascii="Arial" w:cs="Arial" w:eastAsia="Arial" w:hAnsi="Arial"/>
                <w:sz w:val="21"/>
                <w:szCs w:val="21"/>
                <w:color w:val="008000"/>
                <w:w w:val="87"/>
                <w:vertAlign w:val="superscript"/>
              </w:rPr>
              <w:t>(4)</w:t>
            </w:r>
          </w:p>
        </w:tc>
        <w:tc>
          <w:tcPr>
            <w:tcW w:w="780" w:type="dxa"/>
            <w:vAlign w:val="bottom"/>
            <w:gridSpan w:val="2"/>
          </w:tcPr>
          <w:p>
            <w:pPr>
              <w:jc w:val="center"/>
              <w:ind w:left="303"/>
              <w:spacing w:after="0"/>
              <w:rPr>
                <w:sz w:val="20"/>
                <w:szCs w:val="20"/>
                <w:color w:val="auto"/>
              </w:rPr>
            </w:pPr>
            <w:r>
              <w:rPr>
                <w:rFonts w:ascii="Arial" w:cs="Arial" w:eastAsia="Arial" w:hAnsi="Arial"/>
                <w:sz w:val="17"/>
                <w:szCs w:val="17"/>
                <w:color w:val="0000FF"/>
                <w:w w:val="84"/>
              </w:rPr>
              <w:t>0</w:t>
            </w:r>
          </w:p>
        </w:tc>
        <w:tc>
          <w:tcPr>
            <w:tcW w:w="82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7"/>
                <w:szCs w:val="17"/>
                <w:color w:val="0000FF"/>
              </w:rPr>
              <w:t>I</w:t>
            </w:r>
          </w:p>
        </w:tc>
        <w:tc>
          <w:tcPr>
            <w:tcW w:w="1100" w:type="dxa"/>
            <w:vAlign w:val="bottom"/>
            <w:gridSpan w:val="4"/>
          </w:tcPr>
          <w:p>
            <w:pPr>
              <w:ind w:left="60"/>
              <w:spacing w:after="0"/>
              <w:rPr>
                <w:sz w:val="20"/>
                <w:szCs w:val="20"/>
                <w:color w:val="auto"/>
              </w:rPr>
            </w:pPr>
            <w:r>
              <w:rPr>
                <w:rFonts w:ascii="Arial" w:cs="Arial" w:eastAsia="Arial" w:hAnsi="Arial"/>
                <w:sz w:val="17"/>
                <w:szCs w:val="17"/>
                <w:color w:val="0000FF"/>
              </w:rPr>
              <w:t>Opportunity,</w:t>
            </w:r>
          </w:p>
        </w:tc>
        <w:tc>
          <w:tcPr>
            <w:tcW w:w="0" w:type="dxa"/>
            <w:vAlign w:val="bottom"/>
          </w:tcPr>
          <w:p>
            <w:pPr>
              <w:spacing w:after="0"/>
              <w:rPr>
                <w:sz w:val="1"/>
                <w:szCs w:val="1"/>
                <w:color w:val="auto"/>
              </w:rPr>
            </w:pPr>
          </w:p>
        </w:tc>
      </w:tr>
      <w:tr>
        <w:trPr>
          <w:trHeight w:val="31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40" w:type="dxa"/>
            <w:vAlign w:val="bottom"/>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40" w:type="dxa"/>
            <w:vAlign w:val="bottom"/>
            <w:gridSpan w:val="12"/>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Number of</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vMerge w:val="restart"/>
          </w:tcPr>
          <w:p>
            <w:pPr>
              <w:spacing w:after="0" w:line="132"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74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of 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restart"/>
          </w:tcPr>
          <w:p>
            <w:pPr>
              <w:ind w:left="80"/>
              <w:spacing w:after="0" w:line="297" w:lineRule="exact"/>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20"/>
              <w:spacing w:after="0" w:line="144" w:lineRule="exact"/>
              <w:rPr>
                <w:sz w:val="20"/>
                <w:szCs w:val="20"/>
                <w:color w:val="auto"/>
              </w:rPr>
            </w:pPr>
            <w:r>
              <w:rPr>
                <w:rFonts w:ascii="Arial" w:cs="Arial" w:eastAsia="Arial" w:hAnsi="Arial"/>
                <w:sz w:val="13"/>
                <w:szCs w:val="13"/>
                <w:color w:val="0000FF"/>
                <w:w w:val="98"/>
              </w:rPr>
              <w:t>Class A</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501,412</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Emergence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jc w:val="right"/>
              <w:ind w:right="222"/>
              <w:spacing w:after="0"/>
              <w:rPr>
                <w:sz w:val="20"/>
                <w:szCs w:val="20"/>
                <w:color w:val="auto"/>
              </w:rPr>
            </w:pPr>
            <w:r>
              <w:rPr>
                <w:rFonts w:ascii="Arial" w:cs="Arial" w:eastAsia="Arial" w:hAnsi="Arial"/>
                <w:sz w:val="11"/>
                <w:szCs w:val="11"/>
                <w:color w:val="008000"/>
              </w:rPr>
              <w:t>(1)(2)</w:t>
            </w:r>
          </w:p>
        </w:tc>
        <w:tc>
          <w:tcPr>
            <w:tcW w:w="1120" w:type="dxa"/>
            <w:vAlign w:val="bottom"/>
          </w:tcPr>
          <w:p>
            <w:pPr>
              <w:ind w:left="240"/>
              <w:spacing w:after="0"/>
              <w:rPr>
                <w:sz w:val="20"/>
                <w:szCs w:val="20"/>
                <w:color w:val="auto"/>
              </w:rPr>
            </w:pPr>
            <w:r>
              <w:rPr>
                <w:rFonts w:ascii="Arial" w:cs="Arial" w:eastAsia="Arial" w:hAnsi="Arial"/>
                <w:sz w:val="13"/>
                <w:szCs w:val="13"/>
                <w:color w:val="0000FF"/>
              </w:rPr>
              <w:t>01/21/2020</w:t>
            </w: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0000FF"/>
              </w:rPr>
              <w:t>501,412</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3"/>
                <w:szCs w:val="13"/>
                <w:color w:val="auto"/>
              </w:rPr>
            </w:pPr>
          </w:p>
        </w:tc>
        <w:tc>
          <w:tcPr>
            <w:tcW w:w="780" w:type="dxa"/>
            <w:vAlign w:val="bottom"/>
            <w:gridSpan w:val="2"/>
          </w:tcPr>
          <w:p>
            <w:pPr>
              <w:jc w:val="right"/>
              <w:ind w:right="201"/>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20" w:type="dxa"/>
            <w:vAlign w:val="bottom"/>
          </w:tcPr>
          <w:p>
            <w:pPr>
              <w:jc w:val="right"/>
              <w:ind w:right="60"/>
              <w:spacing w:after="0"/>
              <w:rPr>
                <w:sz w:val="20"/>
                <w:szCs w:val="20"/>
                <w:color w:val="auto"/>
              </w:rPr>
            </w:pPr>
            <w:r>
              <w:rPr>
                <w:rFonts w:ascii="Arial" w:cs="Arial" w:eastAsia="Arial" w:hAnsi="Arial"/>
                <w:sz w:val="13"/>
                <w:szCs w:val="13"/>
                <w:color w:val="0000FF"/>
              </w:rPr>
              <w:t>23,668,280</w:t>
            </w:r>
          </w:p>
        </w:tc>
        <w:tc>
          <w:tcPr>
            <w:tcW w:w="520" w:type="dxa"/>
            <w:vAlign w:val="bottom"/>
          </w:tcPr>
          <w:p>
            <w:pPr>
              <w:ind w:left="420"/>
              <w:spacing w:after="0"/>
              <w:rPr>
                <w:sz w:val="20"/>
                <w:szCs w:val="20"/>
                <w:color w:val="auto"/>
              </w:rPr>
            </w:pPr>
            <w:r>
              <w:rPr>
                <w:rFonts w:ascii="Arial" w:cs="Arial" w:eastAsia="Arial" w:hAnsi="Arial"/>
                <w:sz w:val="13"/>
                <w:szCs w:val="13"/>
                <w:color w:val="0000FF"/>
              </w:rPr>
              <w:t>I</w:t>
            </w:r>
          </w:p>
        </w:tc>
        <w:tc>
          <w:tcPr>
            <w:tcW w:w="30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Capital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80"/>
              <w:spacing w:after="0" w:line="131"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Partners III,</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gridSpan w:val="3"/>
          </w:tcPr>
          <w:p>
            <w:pPr>
              <w:ind w:left="60"/>
              <w:spacing w:after="0" w:line="236"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vMerge w:val="restart"/>
          </w:tcPr>
          <w:p>
            <w:pPr>
              <w:jc w:val="right"/>
              <w:ind w:right="102"/>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0000FF"/>
                <w:w w:val="98"/>
              </w:rPr>
              <w:t>Class A</w:t>
            </w:r>
          </w:p>
        </w:tc>
        <w:tc>
          <w:tcPr>
            <w:tcW w:w="740" w:type="dxa"/>
            <w:vAlign w:val="bottom"/>
            <w:vMerge w:val="restart"/>
          </w:tcPr>
          <w:p>
            <w:pPr>
              <w:jc w:val="right"/>
              <w:ind w:right="34"/>
              <w:spacing w:after="0"/>
              <w:rPr>
                <w:sz w:val="20"/>
                <w:szCs w:val="20"/>
                <w:color w:val="auto"/>
              </w:rPr>
            </w:pPr>
            <w:r>
              <w:rPr>
                <w:rFonts w:ascii="Arial" w:cs="Arial" w:eastAsia="Arial" w:hAnsi="Arial"/>
                <w:sz w:val="17"/>
                <w:szCs w:val="17"/>
                <w:color w:val="0000FF"/>
              </w:rPr>
              <w:t>61,088</w:t>
            </w: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3"/>
                <w:szCs w:val="13"/>
                <w:color w:val="0000FF"/>
              </w:rPr>
              <w:t>By EZP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tcPr>
          <w:p>
            <w:pPr>
              <w:jc w:val="right"/>
              <w:ind w:right="282"/>
              <w:spacing w:after="0"/>
              <w:rPr>
                <w:sz w:val="20"/>
                <w:szCs w:val="20"/>
                <w:color w:val="auto"/>
              </w:rPr>
            </w:pPr>
            <w:r>
              <w:rPr>
                <w:rFonts w:ascii="Arial" w:cs="Arial" w:eastAsia="Arial" w:hAnsi="Arial"/>
                <w:sz w:val="11"/>
                <w:szCs w:val="11"/>
                <w:color w:val="008000"/>
              </w:rPr>
              <w:t>(4)</w:t>
            </w:r>
          </w:p>
        </w:tc>
        <w:tc>
          <w:tcPr>
            <w:tcW w:w="1120" w:type="dxa"/>
            <w:vAlign w:val="bottom"/>
          </w:tcPr>
          <w:p>
            <w:pPr>
              <w:ind w:left="240"/>
              <w:spacing w:after="0" w:line="148" w:lineRule="exact"/>
              <w:rPr>
                <w:sz w:val="20"/>
                <w:szCs w:val="20"/>
                <w:color w:val="auto"/>
              </w:rPr>
            </w:pPr>
            <w:r>
              <w:rPr>
                <w:rFonts w:ascii="Arial" w:cs="Arial" w:eastAsia="Arial" w:hAnsi="Arial"/>
                <w:sz w:val="13"/>
                <w:szCs w:val="13"/>
                <w:color w:val="0000FF"/>
              </w:rPr>
              <w:t>01/21/2020</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0000FF"/>
              </w:rPr>
              <w:t>61,088</w:t>
            </w:r>
          </w:p>
        </w:tc>
        <w:tc>
          <w:tcPr>
            <w:tcW w:w="800" w:type="dxa"/>
            <w:vAlign w:val="bottom"/>
          </w:tcPr>
          <w:p>
            <w:pPr>
              <w:ind w:left="400"/>
              <w:spacing w:after="0"/>
              <w:rPr>
                <w:sz w:val="20"/>
                <w:szCs w:val="20"/>
                <w:color w:val="auto"/>
              </w:rPr>
            </w:pPr>
            <w:r>
              <w:rPr>
                <w:rFonts w:ascii="Arial" w:cs="Arial" w:eastAsia="Arial" w:hAnsi="Arial"/>
                <w:sz w:val="11"/>
                <w:szCs w:val="11"/>
                <w:color w:val="008000"/>
              </w:rPr>
              <w:t>(6)</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80" w:type="dxa"/>
            <w:vAlign w:val="bottom"/>
          </w:tcPr>
          <w:p>
            <w:pPr>
              <w:ind w:left="80"/>
              <w:spacing w:after="0" w:line="148"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780" w:type="dxa"/>
            <w:vAlign w:val="bottom"/>
            <w:gridSpan w:val="2"/>
          </w:tcPr>
          <w:p>
            <w:pPr>
              <w:jc w:val="right"/>
              <w:ind w:right="201"/>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20" w:type="dxa"/>
            <w:vAlign w:val="bottom"/>
          </w:tcPr>
          <w:p>
            <w:pPr>
              <w:jc w:val="right"/>
              <w:ind w:right="80"/>
              <w:spacing w:after="0" w:line="148" w:lineRule="exact"/>
              <w:rPr>
                <w:sz w:val="20"/>
                <w:szCs w:val="20"/>
                <w:color w:val="auto"/>
              </w:rPr>
            </w:pPr>
            <w:r>
              <w:rPr>
                <w:rFonts w:ascii="Arial" w:cs="Arial" w:eastAsia="Arial" w:hAnsi="Arial"/>
                <w:sz w:val="13"/>
                <w:szCs w:val="13"/>
                <w:color w:val="0000FF"/>
              </w:rPr>
              <w:t>2,883,045</w:t>
            </w:r>
          </w:p>
        </w:tc>
        <w:tc>
          <w:tcPr>
            <w:tcW w:w="520" w:type="dxa"/>
            <w:vAlign w:val="bottom"/>
          </w:tcPr>
          <w:p>
            <w:pPr>
              <w:ind w:left="420"/>
              <w:spacing w:after="0" w:line="148"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2"/>
                <w:szCs w:val="12"/>
                <w:color w:val="auto"/>
              </w:rPr>
            </w:pPr>
          </w:p>
        </w:tc>
        <w:tc>
          <w:tcPr>
            <w:tcW w:w="800" w:type="dxa"/>
            <w:vAlign w:val="bottom"/>
            <w:gridSpan w:val="3"/>
          </w:tcPr>
          <w:p>
            <w:pPr>
              <w:ind w:left="60"/>
              <w:spacing w:after="0" w:line="148" w:lineRule="exact"/>
              <w:rPr>
                <w:sz w:val="20"/>
                <w:szCs w:val="20"/>
                <w:color w:val="auto"/>
              </w:rPr>
            </w:pPr>
            <w:r>
              <w:rPr>
                <w:rFonts w:ascii="Arial" w:cs="Arial" w:eastAsia="Arial" w:hAnsi="Arial"/>
                <w:sz w:val="13"/>
                <w:szCs w:val="13"/>
                <w:color w:val="0000FF"/>
              </w:rPr>
              <w:t>Opportunity,</w:t>
            </w:r>
          </w:p>
        </w:tc>
        <w:tc>
          <w:tcPr>
            <w:tcW w:w="0" w:type="dxa"/>
            <w:vAlign w:val="bottom"/>
          </w:tcPr>
          <w:p>
            <w:pPr>
              <w:spacing w:after="0"/>
              <w:rPr>
                <w:sz w:val="1"/>
                <w:szCs w:val="1"/>
                <w:color w:val="auto"/>
              </w:rPr>
            </w:pPr>
          </w:p>
        </w:tc>
      </w:tr>
      <w:tr>
        <w:trPr>
          <w:trHeight w:val="275"/>
        </w:trPr>
        <w:tc>
          <w:tcPr>
            <w:tcW w:w="2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Stock</w:t>
            </w:r>
          </w:p>
        </w:tc>
        <w:tc>
          <w:tcPr>
            <w:tcW w:w="74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gridSpan w:val="3"/>
          </w:tcPr>
          <w:p>
            <w:pPr>
              <w:ind w:left="60"/>
              <w:spacing w:after="0" w:line="229"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5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5"/>
          </w:tcPr>
          <w:p>
            <w:pPr>
              <w:spacing w:after="0" w:line="218" w:lineRule="exact"/>
              <w:rPr>
                <w:rFonts w:ascii="Arial" w:cs="Arial" w:eastAsia="Arial" w:hAnsi="Arial"/>
                <w:sz w:val="21"/>
                <w:szCs w:val="21"/>
                <w:color w:val="0000EE"/>
              </w:rPr>
            </w:pPr>
            <w:hyperlink r:id="rId12">
              <w:r>
                <w:rPr>
                  <w:rFonts w:ascii="Arial" w:cs="Arial" w:eastAsia="Arial" w:hAnsi="Arial"/>
                  <w:sz w:val="21"/>
                  <w:szCs w:val="21"/>
                  <w:color w:val="0000EE"/>
                </w:rPr>
                <w:t>Emergence Capital Partners III, L.P.</w:t>
              </w:r>
            </w:hyperlink>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2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SAN MATEO</w:t>
            </w:r>
          </w:p>
        </w:tc>
        <w:tc>
          <w:tcPr>
            <w:tcW w:w="1120" w:type="dxa"/>
            <w:vAlign w:val="bottom"/>
          </w:tcPr>
          <w:p>
            <w:pPr>
              <w:ind w:left="60"/>
              <w:spacing w:after="0"/>
              <w:rPr>
                <w:sz w:val="20"/>
                <w:szCs w:val="20"/>
                <w:color w:val="auto"/>
              </w:rPr>
            </w:pPr>
            <w:r>
              <w:rPr>
                <w:rFonts w:ascii="Arial" w:cs="Arial" w:eastAsia="Arial" w:hAnsi="Arial"/>
                <w:sz w:val="17"/>
                <w:szCs w:val="17"/>
                <w:color w:val="0000FF"/>
              </w:rPr>
              <w:t>CA</w:t>
            </w:r>
          </w:p>
        </w:tc>
        <w:tc>
          <w:tcPr>
            <w:tcW w:w="1080" w:type="dxa"/>
            <w:vAlign w:val="bottom"/>
            <w:gridSpan w:val="2"/>
          </w:tcPr>
          <w:p>
            <w:pPr>
              <w:ind w:left="400"/>
              <w:spacing w:after="0"/>
              <w:rPr>
                <w:sz w:val="20"/>
                <w:szCs w:val="20"/>
                <w:color w:val="auto"/>
              </w:rPr>
            </w:pPr>
            <w:r>
              <w:rPr>
                <w:rFonts w:ascii="Arial" w:cs="Arial" w:eastAsia="Arial" w:hAnsi="Arial"/>
                <w:sz w:val="17"/>
                <w:szCs w:val="17"/>
                <w:color w:val="0000FF"/>
              </w:rPr>
              <w:t>94402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-3952875</wp:posOffset>
            </wp:positionV>
            <wp:extent cx="24130" cy="2392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392045"/>
                    </a:xfrm>
                    <a:prstGeom prst="rect">
                      <a:avLst/>
                    </a:prstGeom>
                    <a:noFill/>
                  </pic:spPr>
                </pic:pic>
              </a:graphicData>
            </a:graphic>
          </wp:anchor>
        </w:drawing>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42" w:orient="portrait"/>
          <w:cols w:equalWidth="0" w:num="1">
            <w:col w:w="11520"/>
          </w:cols>
          <w:pgMar w:left="240" w:top="223" w:right="1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Emergence Equity Partners III, L.P.</w:t>
        </w:r>
      </w:hyperlink>
    </w:p>
    <w:p>
      <w:pPr>
        <w:sectPr>
          <w:pgSz w:w="11900" w:h="16842" w:orient="portrait"/>
          <w:cols w:equalWidth="0" w:num="1">
            <w:col w:w="11520"/>
          </w:cols>
          <w:pgMar w:left="240" w:top="223"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4"/>
        </w:trPr>
        <w:tc>
          <w:tcPr>
            <w:tcW w:w="28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3"/>
          </w:tcPr>
          <w:p>
            <w:pPr>
              <w:spacing w:after="0" w:line="218" w:lineRule="exact"/>
              <w:rPr>
                <w:rFonts w:ascii="Arial" w:cs="Arial" w:eastAsia="Arial" w:hAnsi="Arial"/>
                <w:sz w:val="21"/>
                <w:szCs w:val="21"/>
                <w:color w:val="0000EE"/>
              </w:rPr>
            </w:pPr>
            <w:hyperlink r:id="rId16">
              <w:r>
                <w:rPr>
                  <w:rFonts w:ascii="Arial" w:cs="Arial" w:eastAsia="Arial" w:hAnsi="Arial"/>
                  <w:sz w:val="21"/>
                  <w:szCs w:val="21"/>
                  <w:color w:val="0000EE"/>
                </w:rPr>
                <w:t>EZP Opportunity, L.P.</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0"/>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20" w:type="dxa"/>
            <w:vAlign w:val="bottom"/>
            <w:tcBorders>
              <w:top w:val="single" w:sz="8" w:color="0000EE"/>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4"/>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160 BOVET ROAD, SUITE 300</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6"/>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1"/>
        </w:trPr>
        <w:tc>
          <w:tcPr>
            <w:tcW w:w="13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5"/>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SAN MATEO</w:t>
            </w:r>
          </w:p>
        </w:tc>
        <w:tc>
          <w:tcPr>
            <w:tcW w:w="1480" w:type="dxa"/>
            <w:vAlign w:val="bottom"/>
            <w:gridSpan w:val="2"/>
          </w:tcPr>
          <w:p>
            <w:pPr>
              <w:ind w:left="240"/>
              <w:spacing w:after="0"/>
              <w:rPr>
                <w:sz w:val="20"/>
                <w:szCs w:val="20"/>
                <w:color w:val="auto"/>
              </w:rPr>
            </w:pPr>
            <w:r>
              <w:rPr>
                <w:rFonts w:ascii="Arial" w:cs="Arial" w:eastAsia="Arial" w:hAnsi="Arial"/>
                <w:sz w:val="17"/>
                <w:szCs w:val="17"/>
                <w:color w:val="0000FF"/>
              </w:rPr>
              <w:t>CA</w:t>
            </w:r>
          </w:p>
        </w:tc>
        <w:tc>
          <w:tcPr>
            <w:tcW w:w="1640" w:type="dxa"/>
            <w:vAlign w:val="bottom"/>
          </w:tcPr>
          <w:p>
            <w:pPr>
              <w:ind w:left="220"/>
              <w:spacing w:after="0"/>
              <w:rPr>
                <w:sz w:val="20"/>
                <w:szCs w:val="20"/>
                <w:color w:val="auto"/>
              </w:rPr>
            </w:pPr>
            <w:r>
              <w:rPr>
                <w:rFonts w:ascii="Arial" w:cs="Arial" w:eastAsia="Arial" w:hAnsi="Arial"/>
                <w:sz w:val="17"/>
                <w:szCs w:val="17"/>
                <w:color w:val="0000FF"/>
              </w:rPr>
              <w:t>94402</w:t>
            </w:r>
          </w:p>
        </w:tc>
        <w:tc>
          <w:tcPr>
            <w:tcW w:w="100" w:type="dxa"/>
            <w:vAlign w:val="bottom"/>
          </w:tcPr>
          <w:p>
            <w:pPr>
              <w:spacing w:after="0"/>
              <w:rPr>
                <w:sz w:val="20"/>
                <w:szCs w:val="20"/>
                <w:color w:val="auto"/>
              </w:rPr>
            </w:pPr>
          </w:p>
        </w:tc>
      </w:tr>
      <w:tr>
        <w:trPr>
          <w:trHeight w:val="153"/>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0"/>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2925445" cy="4471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5445" cy="447103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EMERGENCE GP PARTNERS, LLC</w:t>
        </w:r>
      </w:hyperlink>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74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2620" w:type="dxa"/>
            <w:vAlign w:val="bottom"/>
            <w:gridSpan w:val="2"/>
          </w:tcPr>
          <w:p>
            <w:pPr>
              <w:ind w:left="20"/>
              <w:spacing w:after="0"/>
              <w:rPr>
                <w:sz w:val="20"/>
                <w:szCs w:val="20"/>
                <w:color w:val="auto"/>
              </w:rPr>
            </w:pPr>
            <w:r>
              <w:rPr>
                <w:rFonts w:ascii="Arial" w:cs="Arial" w:eastAsia="Arial" w:hAnsi="Arial"/>
                <w:sz w:val="17"/>
                <w:szCs w:val="17"/>
                <w:color w:val="0000FF"/>
              </w:rPr>
              <w:t>160 BOVET ROAD, SUITE 300</w:t>
            </w:r>
          </w:p>
        </w:tc>
        <w:tc>
          <w:tcPr>
            <w:tcW w:w="1740" w:type="dxa"/>
            <w:vAlign w:val="bottom"/>
          </w:tcPr>
          <w:p>
            <w:pPr>
              <w:spacing w:after="0"/>
              <w:rPr>
                <w:sz w:val="23"/>
                <w:szCs w:val="23"/>
                <w:color w:val="auto"/>
              </w:rPr>
            </w:pPr>
          </w:p>
        </w:tc>
      </w:tr>
      <w:tr>
        <w:trPr>
          <w:trHeight w:val="206"/>
        </w:trPr>
        <w:tc>
          <w:tcPr>
            <w:tcW w:w="20" w:type="dxa"/>
            <w:vAlign w:val="bottom"/>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740" w:type="dxa"/>
            <w:vAlign w:val="bottom"/>
            <w:tcBorders>
              <w:bottom w:val="single" w:sz="8" w:color="9A9A9A"/>
            </w:tcBorders>
          </w:tcPr>
          <w:p>
            <w:pPr>
              <w:spacing w:after="0"/>
              <w:rPr>
                <w:sz w:val="17"/>
                <w:szCs w:val="17"/>
                <w:color w:val="auto"/>
              </w:rPr>
            </w:pPr>
          </w:p>
        </w:tc>
      </w:tr>
      <w:tr>
        <w:trPr>
          <w:trHeight w:val="261"/>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7"/>
                <w:szCs w:val="17"/>
                <w:color w:val="0000FF"/>
              </w:rPr>
              <w:t>SAN MATEO</w:t>
            </w:r>
          </w:p>
        </w:tc>
        <w:tc>
          <w:tcPr>
            <w:tcW w:w="1380" w:type="dxa"/>
            <w:vAlign w:val="bottom"/>
          </w:tcPr>
          <w:p>
            <w:pPr>
              <w:ind w:left="240"/>
              <w:spacing w:after="0"/>
              <w:rPr>
                <w:sz w:val="20"/>
                <w:szCs w:val="20"/>
                <w:color w:val="auto"/>
              </w:rPr>
            </w:pPr>
            <w:r>
              <w:rPr>
                <w:rFonts w:ascii="Arial" w:cs="Arial" w:eastAsia="Arial" w:hAnsi="Arial"/>
                <w:sz w:val="17"/>
                <w:szCs w:val="17"/>
                <w:color w:val="0000FF"/>
              </w:rPr>
              <w:t>CA</w:t>
            </w:r>
          </w:p>
        </w:tc>
        <w:tc>
          <w:tcPr>
            <w:tcW w:w="1740" w:type="dxa"/>
            <w:vAlign w:val="bottom"/>
          </w:tcPr>
          <w:p>
            <w:pPr>
              <w:ind w:left="320"/>
              <w:spacing w:after="0"/>
              <w:rPr>
                <w:sz w:val="20"/>
                <w:szCs w:val="20"/>
                <w:color w:val="auto"/>
              </w:rPr>
            </w:pPr>
            <w:r>
              <w:rPr>
                <w:rFonts w:ascii="Arial" w:cs="Arial" w:eastAsia="Arial" w:hAnsi="Arial"/>
                <w:sz w:val="17"/>
                <w:szCs w:val="17"/>
                <w:color w:val="0000FF"/>
              </w:rPr>
              <w:t>94402</w:t>
            </w:r>
          </w:p>
        </w:tc>
      </w:tr>
      <w:tr>
        <w:trPr>
          <w:trHeight w:val="153"/>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74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20" w:right="20" w:firstLine="4"/>
        <w:spacing w:after="0"/>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21, 2020, Emergence Capital Partners III, L.P. ("Emergence") converted in the aggregate 501,412 shares of the Issuer's Class B Common Stock into 501,412 shares of the Issuer's Class A Common Stock. Subsequently on the same date, Emergence distributed in-kind, without consideration, all 501,412 shares of Class A Common Stock pro-rata to its partners, including its limited partners and its general partner, Emergence Equity Partners III, L.P. ("EEP III"), in accordance with the exemption under Rule 16a-9(a) and Rule 16a-13 of the Securities Exchange Act of 1934, as amended. This distribution is being made pursuant to a 10b5-1 plan adopted by Emergence on September 27, 2019.</w:t>
      </w:r>
    </w:p>
    <w:p>
      <w:pPr>
        <w:spacing w:after="0" w:line="31" w:lineRule="exact"/>
        <w:rPr>
          <w:rFonts w:ascii="Arial" w:cs="Arial" w:eastAsia="Arial" w:hAnsi="Arial"/>
          <w:sz w:val="13"/>
          <w:szCs w:val="13"/>
          <w:color w:val="008000"/>
        </w:rPr>
      </w:pPr>
    </w:p>
    <w:p>
      <w:pPr>
        <w:ind w:left="20" w:right="6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Upon receipt by EEP III of its pro rata interest of the distribution (49,450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22" w:lineRule="exact"/>
        <w:rPr>
          <w:rFonts w:ascii="Arial" w:cs="Arial" w:eastAsia="Arial" w:hAnsi="Arial"/>
          <w:sz w:val="13"/>
          <w:szCs w:val="13"/>
          <w:color w:val="008000"/>
        </w:rPr>
      </w:pPr>
    </w:p>
    <w:p>
      <w:pPr>
        <w:ind w:left="2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Emergence. The sole general partner of Emergence is EEP III, and the sole general partner of EEP III is Emergence GP Partners, LLC ("EGP"). Each of the Reporting Persons on this filing (other than Emergence) disclaims Section 16 beneficial ownership of the shares held by Emergence,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right="20" w:firstLine="4"/>
        <w:spacing w:after="0" w:line="238"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21, 2020, EZP Opportunity, L.P. ("EZP") converted in the aggregate 61,088 shares of the Issuer's Class B Common Stock into 61,088 shares of the Issuer's Class A Common Stock. Subsequently on the same date, EZP distributed in-kind, without consideration, all 61,088 shares of Class A Common Stock pro-rata to its partners, including its limited partners and its general partner, EEP III, in accordance with the exemption under Rule 16a-9(a) and Rule 16a-13 of the Securities Exchange Act of 1934, as amended. This distribution is being made pursuant to a 10b5-1 plan adopted by EZP on September 27, 2019. Upon receipt by EEP III of its pro rata interest of the distribution (12,217 shares of Class A Common Stock), EEP III distributed in-kind, without consideration, all such shares pro-rata to its limited partners in accordance with the exemption under Rule 16a-9(a) and Rule 16a-13 of the Securities Exchange Act of 1934, as amended.</w:t>
      </w:r>
    </w:p>
    <w:p>
      <w:pPr>
        <w:spacing w:after="0" w:line="33" w:lineRule="exact"/>
        <w:rPr>
          <w:rFonts w:ascii="Arial" w:cs="Arial" w:eastAsia="Arial" w:hAnsi="Arial"/>
          <w:sz w:val="13"/>
          <w:szCs w:val="13"/>
          <w:color w:val="008000"/>
        </w:rPr>
      </w:pPr>
    </w:p>
    <w:p>
      <w:pPr>
        <w:ind w:left="20" w:right="20" w:firstLine="4"/>
        <w:spacing w:after="0" w:line="244"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directly by EZP. The sole general partner of EZP is EEP III, and the sole general partner of EEP III is EGP. Each of the Reporting Persons on this filing (other than EZP) disclaims Section 16 beneficial ownership of the shares held by EZP, except to the extent, if any, of its pecuniary interest therein, and this report shall not be deemed an admission that it is the beneficial owner of such shares for Section 16 or any other purpose.</w:t>
      </w:r>
    </w:p>
    <w:p>
      <w:pPr>
        <w:spacing w:after="0" w:line="29" w:lineRule="exact"/>
        <w:rPr>
          <w:rFonts w:ascii="Arial" w:cs="Arial" w:eastAsia="Arial" w:hAnsi="Arial"/>
          <w:sz w:val="13"/>
          <w:szCs w:val="13"/>
          <w:color w:val="008000"/>
        </w:rPr>
      </w:pPr>
    </w:p>
    <w:p>
      <w:pPr>
        <w:ind w:left="20" w:right="340" w:firstLine="4"/>
        <w:spacing w:after="0" w:line="256" w:lineRule="auto"/>
        <w:tabs>
          <w:tab w:leader="none" w:pos="15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(1) share of Class A Common Stock, and has no expiration date. Each share of Class B Common Stock will convert automatically into one (1) share of Class A Common Stock upon certain events specified in the Issuer's certificate of incorporation.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360"/>
          </w:cols>
          <w:pgMar w:left="260" w:top="309" w:right="279" w:bottom="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Capital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69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207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Partners III, L.P.,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712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By: Emergence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71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GP Partners, LLC,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137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3728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general 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391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9128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384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455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57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5727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Partners, LLC, its sole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17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045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4521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3848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EZP Opportunity,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-9525</wp:posOffset>
            </wp:positionV>
            <wp:extent cx="11760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Equity Partners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L.P., its sole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12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318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6"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its sole general partner, /s/ Jason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wp:posOffset>
            </wp:positionV>
            <wp:extent cx="14033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40335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703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03580" cy="8255"/>
                    </a:xfrm>
                    <a:prstGeom prst="rect">
                      <a:avLst/>
                    </a:prstGeom>
                    <a:noFill/>
                  </pic:spPr>
                </pic:pic>
              </a:graphicData>
            </a:graphic>
          </wp:anchor>
        </w:drawing>
      </w:r>
    </w:p>
    <w:p>
      <w:pPr>
        <w:spacing w:after="0" w:line="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Emergence GP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-2540</wp:posOffset>
            </wp:positionV>
            <wp:extent cx="13188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/s/ Jason Green,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-13335</wp:posOffset>
            </wp:positionV>
            <wp:extent cx="11010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01/23/2020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4933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9339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9080" w:space="60"/>
            <w:col w:w="2220"/>
          </w:cols>
          <w:pgMar w:left="260" w:top="309" w:right="279" w:bottom="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20" w:right="3760" w:firstLine="4"/>
        <w:spacing w:after="0" w:line="314" w:lineRule="auto"/>
        <w:tabs>
          <w:tab w:leader="none" w:pos="15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309" w:right="2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12" Type="http://schemas.openxmlformats.org/officeDocument/2006/relationships/hyperlink" Target="http://www.sec.gov/cgi-bin/browse-edgar?action=getcompany&amp;CIK=0001526541" TargetMode="External"/><Relationship Id="rId13" Type="http://schemas.openxmlformats.org/officeDocument/2006/relationships/hyperlink" Target="http://www.sec.gov/cgi-bin/browse-edgar?action=getcompany&amp;CIK=0001585521" TargetMode="External"/><Relationship Id="rId15" Type="http://schemas.openxmlformats.org/officeDocument/2006/relationships/hyperlink" Target="http://www.sec.gov/cgi-bin/browse-edgar?action=getcompany&amp;CIK=0001773803" TargetMode="External"/><Relationship Id="rId16" Type="http://schemas.openxmlformats.org/officeDocument/2006/relationships/hyperlink" Target="http://www.sec.gov/cgi-bin/browse-edgar?action=getcompany&amp;CIK=0001691097" TargetMode="External"/><Relationship Id="rId18" Type="http://schemas.openxmlformats.org/officeDocument/2006/relationships/hyperlink" Target="http://www.sec.gov/cgi-bin/browse-edgar?action=getcompany&amp;CIK=0001589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2020-01-23T15:21:10Z</dcterms:created>
  <dcterms:modified xsi:type="dcterms:W3CDTF">2020-01-23T15:21:10Z</dcterms:modified>
</cp:coreProperties>
</file>