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205105</wp:posOffset>
            </wp:positionH>
            <wp:positionV relativeFrom="page">
              <wp:posOffset>679450</wp:posOffset>
            </wp:positionV>
            <wp:extent cx="71215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1525" cy="8255"/>
                    </a:xfrm>
                    <a:prstGeom prst="rect">
                      <a:avLst/>
                    </a:prstGeom>
                    <a:noFill/>
                  </pic:spPr>
                </pic:pic>
              </a:graphicData>
            </a:graphic>
          </wp:anchor>
        </w:drawing>
        <w:drawing>
          <wp:anchor simplePos="0" relativeHeight="251657728" behindDoc="1" locked="0" layoutInCell="0" allowOverlap="1">
            <wp:simplePos x="0" y="0"/>
            <wp:positionH relativeFrom="page">
              <wp:posOffset>205105</wp:posOffset>
            </wp:positionH>
            <wp:positionV relativeFrom="page">
              <wp:posOffset>704215</wp:posOffset>
            </wp:positionV>
            <wp:extent cx="71215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1525" cy="8255"/>
                    </a:xfrm>
                    <a:prstGeom prst="rect">
                      <a:avLst/>
                    </a:prstGeom>
                    <a:noFill/>
                  </pic:spPr>
                </pic:pic>
              </a:graphicData>
            </a:graphic>
          </wp:anchor>
        </w:drawing>
        <w:t>UNITED STATES</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4" w:lineRule="exact"/>
        <w:rPr>
          <w:sz w:val="24"/>
          <w:szCs w:val="24"/>
          <w:color w:val="auto"/>
        </w:rPr>
      </w:pPr>
    </w:p>
    <w:p>
      <w:pPr>
        <w:ind w:left="4340"/>
        <w:spacing w:after="0"/>
        <w:rPr>
          <w:sz w:val="20"/>
          <w:szCs w:val="20"/>
          <w:color w:val="auto"/>
        </w:rPr>
      </w:pPr>
      <w:r>
        <w:rPr>
          <w:rFonts w:ascii="Arial" w:cs="Arial" w:eastAsia="Arial" w:hAnsi="Arial"/>
          <w:sz w:val="21"/>
          <w:szCs w:val="21"/>
          <w:b w:val="1"/>
          <w:bCs w:val="1"/>
          <w:color w:val="auto"/>
        </w:rPr>
        <w:t>_________________________</w:t>
      </w:r>
    </w:p>
    <w:p>
      <w:pPr>
        <w:spacing w:after="0" w:line="70"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8-K/A</w:t>
      </w:r>
    </w:p>
    <w:p>
      <w:pPr>
        <w:spacing w:after="0" w:line="43" w:lineRule="exact"/>
        <w:rPr>
          <w:sz w:val="24"/>
          <w:szCs w:val="24"/>
          <w:color w:val="auto"/>
        </w:rPr>
      </w:pPr>
    </w:p>
    <w:p>
      <w:pPr>
        <w:ind w:left="4340"/>
        <w:spacing w:after="0"/>
        <w:rPr>
          <w:sz w:val="20"/>
          <w:szCs w:val="20"/>
          <w:color w:val="auto"/>
        </w:rPr>
      </w:pPr>
      <w:r>
        <w:rPr>
          <w:rFonts w:ascii="Arial" w:cs="Arial" w:eastAsia="Arial" w:hAnsi="Arial"/>
          <w:sz w:val="21"/>
          <w:szCs w:val="21"/>
          <w:b w:val="1"/>
          <w:bCs w:val="1"/>
          <w:color w:val="auto"/>
        </w:rPr>
        <w:t>_________________________</w:t>
      </w:r>
    </w:p>
    <w:p>
      <w:pPr>
        <w:spacing w:after="0" w:line="83"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CURRENT REPORT</w:t>
      </w:r>
    </w:p>
    <w:p>
      <w:pPr>
        <w:spacing w:after="0" w:line="107"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Pursuant to Section 13 or 15(d) of the Securities Exchange Act of 1934</w:t>
      </w:r>
    </w:p>
    <w:p>
      <w:pPr>
        <w:spacing w:after="0" w:line="107"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Date of Report (Date of earliest event reported): August 30, 2021</w:t>
      </w:r>
    </w:p>
    <w:p>
      <w:pPr>
        <w:spacing w:after="0" w:line="28" w:lineRule="exact"/>
        <w:rPr>
          <w:sz w:val="24"/>
          <w:szCs w:val="24"/>
          <w:color w:val="auto"/>
        </w:rPr>
      </w:pPr>
    </w:p>
    <w:p>
      <w:pPr>
        <w:ind w:left="4340"/>
        <w:spacing w:after="0"/>
        <w:rPr>
          <w:sz w:val="20"/>
          <w:szCs w:val="20"/>
          <w:color w:val="auto"/>
        </w:rPr>
      </w:pPr>
      <w:r>
        <w:rPr>
          <w:rFonts w:ascii="Arial" w:cs="Arial" w:eastAsia="Arial" w:hAnsi="Arial"/>
          <w:sz w:val="21"/>
          <w:szCs w:val="21"/>
          <w:b w:val="1"/>
          <w:bCs w:val="1"/>
          <w:color w:val="auto"/>
        </w:rPr>
        <w:t>_________________________</w:t>
      </w:r>
    </w:p>
    <w:p>
      <w:pPr>
        <w:spacing w:after="0" w:line="69" w:lineRule="exact"/>
        <w:rPr>
          <w:sz w:val="24"/>
          <w:szCs w:val="24"/>
          <w:color w:val="auto"/>
        </w:rPr>
      </w:pPr>
    </w:p>
    <w:p>
      <w:pPr>
        <w:jc w:val="center"/>
        <w:spacing w:after="0"/>
        <w:rPr>
          <w:sz w:val="20"/>
          <w:szCs w:val="20"/>
          <w:color w:val="auto"/>
        </w:rPr>
      </w:pPr>
      <w:r>
        <w:rPr>
          <w:rFonts w:ascii="Arial" w:cs="Arial" w:eastAsia="Arial" w:hAnsi="Arial"/>
          <w:sz w:val="41"/>
          <w:szCs w:val="41"/>
          <w:b w:val="1"/>
          <w:bCs w:val="1"/>
          <w:color w:val="auto"/>
        </w:rPr>
        <w:t>Zoom Video Communications, Inc.</w:t>
      </w:r>
    </w:p>
    <w:p>
      <w:pPr>
        <w:spacing w:after="0" w:line="12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8" w:lineRule="exact"/>
        <w:rPr>
          <w:sz w:val="24"/>
          <w:szCs w:val="24"/>
          <w:color w:val="auto"/>
        </w:rPr>
      </w:pPr>
    </w:p>
    <w:p>
      <w:pPr>
        <w:ind w:left="4340"/>
        <w:spacing w:after="0"/>
        <w:rPr>
          <w:sz w:val="20"/>
          <w:szCs w:val="20"/>
          <w:color w:val="auto"/>
        </w:rPr>
      </w:pPr>
      <w:r>
        <w:rPr>
          <w:rFonts w:ascii="Arial" w:cs="Arial" w:eastAsia="Arial" w:hAnsi="Arial"/>
          <w:sz w:val="21"/>
          <w:szCs w:val="21"/>
          <w:b w:val="1"/>
          <w:bCs w:val="1"/>
          <w:color w:val="auto"/>
        </w:rPr>
        <w:t>_________________________</w:t>
      </w:r>
    </w:p>
    <w:p>
      <w:pPr>
        <w:spacing w:after="0" w:line="19" w:lineRule="exact"/>
        <w:rPr>
          <w:sz w:val="24"/>
          <w:szCs w:val="24"/>
          <w:color w:val="auto"/>
        </w:rPr>
      </w:pPr>
    </w:p>
    <w:tbl>
      <w:tblPr>
        <w:tblLayout w:type="fixed"/>
        <w:tblInd w:w="1060" w:type="dxa"/>
        <w:tblCellMar>
          <w:top w:w="0" w:type="dxa"/>
          <w:left w:w="0" w:type="dxa"/>
          <w:bottom w:w="0" w:type="dxa"/>
          <w:right w:w="0" w:type="dxa"/>
        </w:tblCellMar>
      </w:tblPr>
      <w:tr>
        <w:trPr>
          <w:trHeight w:val="233"/>
        </w:trPr>
        <w:tc>
          <w:tcPr>
            <w:tcW w:w="2120" w:type="dxa"/>
            <w:vAlign w:val="bottom"/>
          </w:tcPr>
          <w:p>
            <w:pPr>
              <w:jc w:val="center"/>
              <w:ind w:right="403"/>
              <w:spacing w:after="0"/>
              <w:rPr>
                <w:sz w:val="20"/>
                <w:szCs w:val="20"/>
                <w:color w:val="auto"/>
              </w:rPr>
            </w:pPr>
            <w:r>
              <w:rPr>
                <w:rFonts w:ascii="Arial" w:cs="Arial" w:eastAsia="Arial" w:hAnsi="Arial"/>
                <w:sz w:val="19"/>
                <w:szCs w:val="19"/>
                <w:b w:val="1"/>
                <w:bCs w:val="1"/>
                <w:color w:val="auto"/>
                <w:w w:val="91"/>
              </w:rPr>
              <w:t>Delaware</w:t>
            </w:r>
          </w:p>
        </w:tc>
        <w:tc>
          <w:tcPr>
            <w:tcW w:w="5020" w:type="dxa"/>
            <w:vAlign w:val="bottom"/>
          </w:tcPr>
          <w:p>
            <w:pPr>
              <w:jc w:val="center"/>
              <w:ind w:right="77"/>
              <w:spacing w:after="0"/>
              <w:rPr>
                <w:sz w:val="20"/>
                <w:szCs w:val="20"/>
                <w:color w:val="auto"/>
              </w:rPr>
            </w:pPr>
            <w:r>
              <w:rPr>
                <w:rFonts w:ascii="Arial" w:cs="Arial" w:eastAsia="Arial" w:hAnsi="Arial"/>
                <w:sz w:val="19"/>
                <w:szCs w:val="19"/>
                <w:b w:val="1"/>
                <w:bCs w:val="1"/>
                <w:color w:val="auto"/>
                <w:w w:val="90"/>
              </w:rPr>
              <w:t>001-38865</w:t>
            </w:r>
          </w:p>
        </w:tc>
        <w:tc>
          <w:tcPr>
            <w:tcW w:w="1700" w:type="dxa"/>
            <w:vAlign w:val="bottom"/>
          </w:tcPr>
          <w:p>
            <w:pPr>
              <w:jc w:val="center"/>
              <w:ind w:left="543"/>
              <w:spacing w:after="0"/>
              <w:rPr>
                <w:sz w:val="20"/>
                <w:szCs w:val="20"/>
                <w:color w:val="auto"/>
              </w:rPr>
            </w:pPr>
            <w:r>
              <w:rPr>
                <w:rFonts w:ascii="Arial" w:cs="Arial" w:eastAsia="Arial" w:hAnsi="Arial"/>
                <w:sz w:val="19"/>
                <w:szCs w:val="19"/>
                <w:b w:val="1"/>
                <w:bCs w:val="1"/>
                <w:color w:val="auto"/>
                <w:w w:val="90"/>
              </w:rPr>
              <w:t>61-1648780</w:t>
            </w:r>
          </w:p>
        </w:tc>
        <w:tc>
          <w:tcPr>
            <w:tcW w:w="0" w:type="dxa"/>
            <w:vAlign w:val="bottom"/>
          </w:tcPr>
          <w:p>
            <w:pPr>
              <w:spacing w:after="0"/>
              <w:rPr>
                <w:sz w:val="1"/>
                <w:szCs w:val="1"/>
                <w:color w:val="auto"/>
              </w:rPr>
            </w:pPr>
          </w:p>
        </w:tc>
      </w:tr>
      <w:tr>
        <w:trPr>
          <w:trHeight w:val="139"/>
        </w:trPr>
        <w:tc>
          <w:tcPr>
            <w:tcW w:w="2120" w:type="dxa"/>
            <w:vAlign w:val="bottom"/>
          </w:tcPr>
          <w:p>
            <w:pPr>
              <w:jc w:val="center"/>
              <w:ind w:right="403"/>
              <w:spacing w:after="0" w:line="139" w:lineRule="exact"/>
              <w:rPr>
                <w:sz w:val="20"/>
                <w:szCs w:val="20"/>
                <w:color w:val="auto"/>
              </w:rPr>
            </w:pPr>
            <w:r>
              <w:rPr>
                <w:rFonts w:ascii="Arial" w:cs="Arial" w:eastAsia="Arial" w:hAnsi="Arial"/>
                <w:sz w:val="14"/>
                <w:szCs w:val="14"/>
                <w:b w:val="1"/>
                <w:bCs w:val="1"/>
                <w:color w:val="auto"/>
                <w:w w:val="90"/>
              </w:rPr>
              <w:t>(State or Other Jurisdiction</w:t>
            </w:r>
          </w:p>
        </w:tc>
        <w:tc>
          <w:tcPr>
            <w:tcW w:w="5020" w:type="dxa"/>
            <w:vAlign w:val="bottom"/>
            <w:vMerge w:val="restart"/>
          </w:tcPr>
          <w:p>
            <w:pPr>
              <w:jc w:val="center"/>
              <w:ind w:right="57"/>
              <w:spacing w:after="0"/>
              <w:rPr>
                <w:sz w:val="20"/>
                <w:szCs w:val="20"/>
                <w:color w:val="auto"/>
              </w:rPr>
            </w:pPr>
            <w:r>
              <w:rPr>
                <w:rFonts w:ascii="Arial" w:cs="Arial" w:eastAsia="Arial" w:hAnsi="Arial"/>
                <w:sz w:val="14"/>
                <w:szCs w:val="14"/>
                <w:b w:val="1"/>
                <w:bCs w:val="1"/>
                <w:color w:val="auto"/>
                <w:w w:val="89"/>
              </w:rPr>
              <w:t>(Commission File Number)</w:t>
            </w:r>
          </w:p>
        </w:tc>
        <w:tc>
          <w:tcPr>
            <w:tcW w:w="1700" w:type="dxa"/>
            <w:vAlign w:val="bottom"/>
          </w:tcPr>
          <w:p>
            <w:pPr>
              <w:jc w:val="center"/>
              <w:ind w:left="543"/>
              <w:spacing w:after="0" w:line="139" w:lineRule="exact"/>
              <w:rPr>
                <w:sz w:val="20"/>
                <w:szCs w:val="20"/>
                <w:color w:val="auto"/>
              </w:rPr>
            </w:pPr>
            <w:r>
              <w:rPr>
                <w:rFonts w:ascii="Arial" w:cs="Arial" w:eastAsia="Arial" w:hAnsi="Arial"/>
                <w:sz w:val="14"/>
                <w:szCs w:val="14"/>
                <w:b w:val="1"/>
                <w:bCs w:val="1"/>
                <w:color w:val="auto"/>
                <w:w w:val="91"/>
              </w:rPr>
              <w:t>(IRS Employer</w:t>
            </w:r>
          </w:p>
        </w:tc>
        <w:tc>
          <w:tcPr>
            <w:tcW w:w="0" w:type="dxa"/>
            <w:vAlign w:val="bottom"/>
          </w:tcPr>
          <w:p>
            <w:pPr>
              <w:spacing w:after="0"/>
              <w:rPr>
                <w:sz w:val="1"/>
                <w:szCs w:val="1"/>
                <w:color w:val="auto"/>
              </w:rPr>
            </w:pPr>
          </w:p>
        </w:tc>
      </w:tr>
      <w:tr>
        <w:trPr>
          <w:trHeight w:val="179"/>
        </w:trPr>
        <w:tc>
          <w:tcPr>
            <w:tcW w:w="2120" w:type="dxa"/>
            <w:vAlign w:val="bottom"/>
          </w:tcPr>
          <w:p>
            <w:pPr>
              <w:jc w:val="center"/>
              <w:ind w:right="423"/>
              <w:spacing w:after="0"/>
              <w:rPr>
                <w:sz w:val="20"/>
                <w:szCs w:val="20"/>
                <w:color w:val="auto"/>
              </w:rPr>
            </w:pPr>
            <w:r>
              <w:rPr>
                <w:rFonts w:ascii="Arial" w:cs="Arial" w:eastAsia="Arial" w:hAnsi="Arial"/>
                <w:sz w:val="14"/>
                <w:szCs w:val="14"/>
                <w:b w:val="1"/>
                <w:bCs w:val="1"/>
                <w:color w:val="auto"/>
                <w:w w:val="91"/>
              </w:rPr>
              <w:t>of Incorporation)</w:t>
            </w:r>
          </w:p>
        </w:tc>
        <w:tc>
          <w:tcPr>
            <w:tcW w:w="5020" w:type="dxa"/>
            <w:vAlign w:val="bottom"/>
            <w:vMerge w:val="continue"/>
          </w:tcPr>
          <w:p>
            <w:pPr>
              <w:spacing w:after="0"/>
              <w:rPr>
                <w:sz w:val="15"/>
                <w:szCs w:val="15"/>
                <w:color w:val="auto"/>
              </w:rPr>
            </w:pPr>
          </w:p>
        </w:tc>
        <w:tc>
          <w:tcPr>
            <w:tcW w:w="1700" w:type="dxa"/>
            <w:vAlign w:val="bottom"/>
          </w:tcPr>
          <w:p>
            <w:pPr>
              <w:jc w:val="center"/>
              <w:ind w:left="543"/>
              <w:spacing w:after="0"/>
              <w:rPr>
                <w:sz w:val="20"/>
                <w:szCs w:val="20"/>
                <w:color w:val="auto"/>
              </w:rPr>
            </w:pPr>
            <w:r>
              <w:rPr>
                <w:rFonts w:ascii="Arial" w:cs="Arial" w:eastAsia="Arial" w:hAnsi="Arial"/>
                <w:sz w:val="14"/>
                <w:szCs w:val="14"/>
                <w:b w:val="1"/>
                <w:bCs w:val="1"/>
                <w:color w:val="auto"/>
                <w:w w:val="91"/>
              </w:rPr>
              <w:t>Identification No.)</w:t>
            </w:r>
          </w:p>
        </w:tc>
        <w:tc>
          <w:tcPr>
            <w:tcW w:w="0" w:type="dxa"/>
            <w:vAlign w:val="bottom"/>
          </w:tcPr>
          <w:p>
            <w:pPr>
              <w:spacing w:after="0"/>
              <w:rPr>
                <w:sz w:val="1"/>
                <w:szCs w:val="1"/>
                <w:color w:val="auto"/>
              </w:rPr>
            </w:pPr>
          </w:p>
        </w:tc>
      </w:tr>
      <w:tr>
        <w:trPr>
          <w:trHeight w:val="328"/>
        </w:trPr>
        <w:tc>
          <w:tcPr>
            <w:tcW w:w="2120" w:type="dxa"/>
            <w:vAlign w:val="bottom"/>
          </w:tcPr>
          <w:p>
            <w:pPr>
              <w:spacing w:after="0"/>
              <w:rPr>
                <w:sz w:val="24"/>
                <w:szCs w:val="24"/>
                <w:color w:val="auto"/>
              </w:rPr>
            </w:pPr>
          </w:p>
        </w:tc>
        <w:tc>
          <w:tcPr>
            <w:tcW w:w="5020" w:type="dxa"/>
            <w:vAlign w:val="bottom"/>
          </w:tcPr>
          <w:p>
            <w:pPr>
              <w:jc w:val="center"/>
              <w:ind w:right="57"/>
              <w:spacing w:after="0"/>
              <w:rPr>
                <w:sz w:val="20"/>
                <w:szCs w:val="20"/>
                <w:color w:val="auto"/>
              </w:rPr>
            </w:pPr>
            <w:r>
              <w:rPr>
                <w:rFonts w:ascii="Arial" w:cs="Arial" w:eastAsia="Arial" w:hAnsi="Arial"/>
                <w:sz w:val="19"/>
                <w:szCs w:val="19"/>
                <w:b w:val="1"/>
                <w:bCs w:val="1"/>
                <w:color w:val="auto"/>
                <w:w w:val="91"/>
              </w:rPr>
              <w:t>55 Almaden Boulevard, 6th Floor</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120" w:type="dxa"/>
            <w:vAlign w:val="bottom"/>
          </w:tcPr>
          <w:p>
            <w:pPr>
              <w:spacing w:after="0"/>
              <w:rPr>
                <w:sz w:val="19"/>
                <w:szCs w:val="19"/>
                <w:color w:val="auto"/>
              </w:rPr>
            </w:pPr>
          </w:p>
        </w:tc>
        <w:tc>
          <w:tcPr>
            <w:tcW w:w="5020" w:type="dxa"/>
            <w:vAlign w:val="bottom"/>
          </w:tcPr>
          <w:p>
            <w:pPr>
              <w:jc w:val="center"/>
              <w:ind w:right="37"/>
              <w:spacing w:after="0"/>
              <w:rPr>
                <w:sz w:val="20"/>
                <w:szCs w:val="20"/>
                <w:color w:val="auto"/>
              </w:rPr>
            </w:pPr>
            <w:r>
              <w:rPr>
                <w:rFonts w:ascii="Arial" w:cs="Arial" w:eastAsia="Arial" w:hAnsi="Arial"/>
                <w:sz w:val="19"/>
                <w:szCs w:val="19"/>
                <w:b w:val="1"/>
                <w:bCs w:val="1"/>
                <w:color w:val="auto"/>
                <w:w w:val="89"/>
              </w:rPr>
              <w:t>San Jose, California 95113</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2120" w:type="dxa"/>
            <w:vAlign w:val="bottom"/>
          </w:tcPr>
          <w:p>
            <w:pPr>
              <w:spacing w:after="0"/>
              <w:rPr>
                <w:sz w:val="15"/>
                <w:szCs w:val="15"/>
                <w:color w:val="auto"/>
              </w:rPr>
            </w:pPr>
          </w:p>
        </w:tc>
        <w:tc>
          <w:tcPr>
            <w:tcW w:w="5020" w:type="dxa"/>
            <w:vAlign w:val="bottom"/>
          </w:tcPr>
          <w:p>
            <w:pPr>
              <w:jc w:val="center"/>
              <w:ind w:right="57"/>
              <w:spacing w:after="0"/>
              <w:rPr>
                <w:sz w:val="20"/>
                <w:szCs w:val="20"/>
                <w:color w:val="auto"/>
              </w:rPr>
            </w:pPr>
            <w:r>
              <w:rPr>
                <w:rFonts w:ascii="Arial" w:cs="Arial" w:eastAsia="Arial" w:hAnsi="Arial"/>
                <w:sz w:val="14"/>
                <w:szCs w:val="14"/>
                <w:b w:val="1"/>
                <w:bCs w:val="1"/>
                <w:color w:val="auto"/>
                <w:w w:val="88"/>
              </w:rPr>
              <w:t>(Address of principal executive offices and Zip Code)</w:t>
            </w: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9"/>
        </w:trPr>
        <w:tc>
          <w:tcPr>
            <w:tcW w:w="2120" w:type="dxa"/>
            <w:vAlign w:val="bottom"/>
          </w:tcPr>
          <w:p>
            <w:pPr>
              <w:spacing w:after="0"/>
              <w:rPr>
                <w:sz w:val="24"/>
                <w:szCs w:val="24"/>
                <w:color w:val="auto"/>
              </w:rPr>
            </w:pPr>
          </w:p>
        </w:tc>
        <w:tc>
          <w:tcPr>
            <w:tcW w:w="5020" w:type="dxa"/>
            <w:vAlign w:val="bottom"/>
          </w:tcPr>
          <w:p>
            <w:pPr>
              <w:jc w:val="center"/>
              <w:ind w:right="37"/>
              <w:spacing w:after="0"/>
              <w:rPr>
                <w:sz w:val="20"/>
                <w:szCs w:val="20"/>
                <w:color w:val="auto"/>
              </w:rPr>
            </w:pPr>
            <w:r>
              <w:rPr>
                <w:rFonts w:ascii="Arial" w:cs="Arial" w:eastAsia="Arial" w:hAnsi="Arial"/>
                <w:sz w:val="19"/>
                <w:szCs w:val="19"/>
                <w:b w:val="1"/>
                <w:bCs w:val="1"/>
                <w:color w:val="auto"/>
                <w:w w:val="90"/>
              </w:rPr>
              <w:t>(888) 799-9666</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120" w:type="dxa"/>
            <w:vAlign w:val="bottom"/>
          </w:tcPr>
          <w:p>
            <w:pPr>
              <w:spacing w:after="0"/>
              <w:rPr>
                <w:sz w:val="15"/>
                <w:szCs w:val="15"/>
                <w:color w:val="auto"/>
              </w:rPr>
            </w:pPr>
          </w:p>
        </w:tc>
        <w:tc>
          <w:tcPr>
            <w:tcW w:w="5020" w:type="dxa"/>
            <w:vAlign w:val="bottom"/>
          </w:tcPr>
          <w:p>
            <w:pPr>
              <w:jc w:val="center"/>
              <w:ind w:right="57"/>
              <w:spacing w:after="0"/>
              <w:rPr>
                <w:sz w:val="20"/>
                <w:szCs w:val="20"/>
                <w:color w:val="auto"/>
              </w:rPr>
            </w:pPr>
            <w:r>
              <w:rPr>
                <w:rFonts w:ascii="Arial" w:cs="Arial" w:eastAsia="Arial" w:hAnsi="Arial"/>
                <w:sz w:val="14"/>
                <w:szCs w:val="14"/>
                <w:b w:val="1"/>
                <w:bCs w:val="1"/>
                <w:color w:val="auto"/>
                <w:w w:val="88"/>
              </w:rPr>
              <w:t>(Registrant’s Telephone Number, Including Area Code)</w:t>
            </w: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9"/>
        </w:trPr>
        <w:tc>
          <w:tcPr>
            <w:tcW w:w="2120" w:type="dxa"/>
            <w:vAlign w:val="bottom"/>
          </w:tcPr>
          <w:p>
            <w:pPr>
              <w:spacing w:after="0"/>
              <w:rPr>
                <w:sz w:val="24"/>
                <w:szCs w:val="24"/>
                <w:color w:val="auto"/>
              </w:rPr>
            </w:pPr>
          </w:p>
        </w:tc>
        <w:tc>
          <w:tcPr>
            <w:tcW w:w="5020" w:type="dxa"/>
            <w:vAlign w:val="bottom"/>
          </w:tcPr>
          <w:p>
            <w:pPr>
              <w:jc w:val="center"/>
              <w:ind w:right="37"/>
              <w:spacing w:after="0"/>
              <w:rPr>
                <w:sz w:val="20"/>
                <w:szCs w:val="20"/>
                <w:color w:val="auto"/>
              </w:rPr>
            </w:pPr>
            <w:r>
              <w:rPr>
                <w:rFonts w:ascii="Arial" w:cs="Arial" w:eastAsia="Arial" w:hAnsi="Arial"/>
                <w:sz w:val="19"/>
                <w:szCs w:val="19"/>
                <w:b w:val="1"/>
                <w:bCs w:val="1"/>
                <w:color w:val="auto"/>
                <w:w w:val="91"/>
              </w:rPr>
              <w:t>Not Applicable</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120" w:type="dxa"/>
            <w:vAlign w:val="bottom"/>
          </w:tcPr>
          <w:p>
            <w:pPr>
              <w:spacing w:after="0"/>
              <w:rPr>
                <w:sz w:val="15"/>
                <w:szCs w:val="15"/>
                <w:color w:val="auto"/>
              </w:rPr>
            </w:pPr>
          </w:p>
        </w:tc>
        <w:tc>
          <w:tcPr>
            <w:tcW w:w="5020" w:type="dxa"/>
            <w:vAlign w:val="bottom"/>
          </w:tcPr>
          <w:p>
            <w:pPr>
              <w:jc w:val="center"/>
              <w:ind w:right="57"/>
              <w:spacing w:after="0"/>
              <w:rPr>
                <w:sz w:val="20"/>
                <w:szCs w:val="20"/>
                <w:color w:val="auto"/>
              </w:rPr>
            </w:pPr>
            <w:r>
              <w:rPr>
                <w:rFonts w:ascii="Arial" w:cs="Arial" w:eastAsia="Arial" w:hAnsi="Arial"/>
                <w:sz w:val="14"/>
                <w:szCs w:val="14"/>
                <w:b w:val="1"/>
                <w:bCs w:val="1"/>
                <w:color w:val="auto"/>
                <w:w w:val="89"/>
              </w:rPr>
              <w:t>(Former Name or Former Address, if Changed Since Last Report)</w:t>
            </w: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4340"/>
        <w:spacing w:after="0"/>
        <w:rPr>
          <w:sz w:val="20"/>
          <w:szCs w:val="20"/>
          <w:color w:val="auto"/>
        </w:rPr>
      </w:pPr>
      <w:r>
        <w:rPr>
          <w:rFonts w:ascii="Arial" w:cs="Arial" w:eastAsia="Arial" w:hAnsi="Arial"/>
          <w:sz w:val="21"/>
          <w:szCs w:val="21"/>
          <w:b w:val="1"/>
          <w:bCs w:val="1"/>
          <w:color w:val="auto"/>
        </w:rPr>
        <w:t>_________________________</w:t>
      </w:r>
    </w:p>
    <w:p>
      <w:pPr>
        <w:spacing w:after="0" w:line="94" w:lineRule="exact"/>
        <w:rPr>
          <w:sz w:val="24"/>
          <w:szCs w:val="24"/>
          <w:color w:val="auto"/>
        </w:rPr>
      </w:pPr>
    </w:p>
    <w:p>
      <w:pPr>
        <w:ind w:right="440"/>
        <w:spacing w:after="0" w:line="261"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 (see General Instructions A.2. below):</w:t>
      </w:r>
    </w:p>
    <w:p>
      <w:pPr>
        <w:spacing w:after="0" w:line="27" w:lineRule="exact"/>
        <w:rPr>
          <w:sz w:val="24"/>
          <w:szCs w:val="24"/>
          <w:color w:val="auto"/>
        </w:rPr>
      </w:pPr>
    </w:p>
    <w:p>
      <w:pPr>
        <w:ind w:left="620" w:hanging="599"/>
        <w:spacing w:after="0"/>
        <w:tabs>
          <w:tab w:leader="none" w:pos="6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Written communications pursuant to Rule 425 under the Securities Act (17 CFR 230.425)</w:t>
      </w:r>
    </w:p>
    <w:p>
      <w:pPr>
        <w:spacing w:after="0" w:line="38" w:lineRule="exact"/>
        <w:rPr>
          <w:rFonts w:ascii="MS PGothic" w:cs="MS PGothic" w:eastAsia="MS PGothic" w:hAnsi="MS PGothic"/>
          <w:sz w:val="17"/>
          <w:szCs w:val="17"/>
          <w:color w:val="auto"/>
        </w:rPr>
      </w:pPr>
    </w:p>
    <w:p>
      <w:pPr>
        <w:ind w:left="620" w:hanging="599"/>
        <w:spacing w:after="0"/>
        <w:tabs>
          <w:tab w:leader="none" w:pos="6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Soliciting material pursuant to Rule 14a-12 under the Exchange Act (17 CFR 240.14a-12)</w:t>
      </w:r>
    </w:p>
    <w:p>
      <w:pPr>
        <w:spacing w:after="0" w:line="24" w:lineRule="exact"/>
        <w:rPr>
          <w:rFonts w:ascii="MS PGothic" w:cs="MS PGothic" w:eastAsia="MS PGothic" w:hAnsi="MS PGothic"/>
          <w:sz w:val="17"/>
          <w:szCs w:val="17"/>
          <w:color w:val="auto"/>
        </w:rPr>
      </w:pPr>
    </w:p>
    <w:p>
      <w:pPr>
        <w:ind w:left="620" w:hanging="599"/>
        <w:spacing w:after="0"/>
        <w:tabs>
          <w:tab w:leader="none" w:pos="6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24" w:lineRule="exact"/>
        <w:rPr>
          <w:rFonts w:ascii="MS PGothic" w:cs="MS PGothic" w:eastAsia="MS PGothic" w:hAnsi="MS PGothic"/>
          <w:sz w:val="17"/>
          <w:szCs w:val="17"/>
          <w:color w:val="auto"/>
        </w:rPr>
      </w:pPr>
    </w:p>
    <w:p>
      <w:pPr>
        <w:ind w:left="620" w:hanging="599"/>
        <w:spacing w:after="0"/>
        <w:tabs>
          <w:tab w:leader="none" w:pos="6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185"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Securities registered pursuant to Section 12(b) of the Act:</w:t>
      </w:r>
    </w:p>
    <w:p>
      <w:pPr>
        <w:spacing w:after="0" w:line="36" w:lineRule="exact"/>
        <w:rPr>
          <w:sz w:val="24"/>
          <w:szCs w:val="24"/>
          <w:color w:val="auto"/>
        </w:rPr>
      </w:pPr>
    </w:p>
    <w:tbl>
      <w:tblPr>
        <w:tblLayout w:type="fixed"/>
        <w:tblInd w:w="10" w:type="dxa"/>
        <w:tblCellMar>
          <w:top w:w="0" w:type="dxa"/>
          <w:left w:w="0" w:type="dxa"/>
          <w:bottom w:w="0" w:type="dxa"/>
          <w:right w:w="0" w:type="dxa"/>
        </w:tblCellMar>
      </w:tblPr>
      <w:tr>
        <w:trPr>
          <w:trHeight w:val="217"/>
        </w:trPr>
        <w:tc>
          <w:tcPr>
            <w:tcW w:w="44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Title of each class</w:t>
            </w:r>
          </w:p>
        </w:tc>
        <w:tc>
          <w:tcPr>
            <w:tcW w:w="23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Trading Symbol(s)</w:t>
            </w:r>
          </w:p>
        </w:tc>
        <w:tc>
          <w:tcPr>
            <w:tcW w:w="44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6"/>
              </w:rPr>
              <w:t>Name of each exchange on which registered</w:t>
            </w:r>
          </w:p>
        </w:tc>
      </w:tr>
      <w:tr>
        <w:trPr>
          <w:trHeight w:val="200"/>
        </w:trPr>
        <w:tc>
          <w:tcPr>
            <w:tcW w:w="44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6"/>
              </w:rPr>
              <w:t>Class A Common Stock, $0.001 par value per share</w:t>
            </w:r>
          </w:p>
        </w:tc>
        <w:tc>
          <w:tcPr>
            <w:tcW w:w="2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ZM</w:t>
            </w:r>
          </w:p>
        </w:tc>
        <w:tc>
          <w:tcPr>
            <w:tcW w:w="4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The Nasdaq Global Select Market</w:t>
            </w:r>
          </w:p>
        </w:tc>
      </w:tr>
    </w:tbl>
    <w:p>
      <w:pPr>
        <w:spacing w:after="0" w:line="181" w:lineRule="exact"/>
        <w:rPr>
          <w:sz w:val="24"/>
          <w:szCs w:val="24"/>
          <w:color w:val="auto"/>
        </w:rPr>
      </w:pPr>
    </w:p>
    <w:p>
      <w:pPr>
        <w:ind w:right="180"/>
        <w:spacing w:after="0" w:line="283" w:lineRule="auto"/>
        <w:rPr>
          <w:sz w:val="20"/>
          <w:szCs w:val="20"/>
          <w:color w:val="auto"/>
        </w:rPr>
      </w:pPr>
      <w:r>
        <w:rPr>
          <w:rFonts w:ascii="Arial" w:cs="Arial" w:eastAsia="Arial" w:hAnsi="Arial"/>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3"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147" w:lineRule="exact"/>
        <w:rPr>
          <w:sz w:val="24"/>
          <w:szCs w:val="24"/>
          <w:color w:val="auto"/>
        </w:rPr>
      </w:pPr>
    </w:p>
    <w:p>
      <w:pPr>
        <w:ind w:right="460"/>
        <w:spacing w:after="0" w:line="222"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772160</wp:posOffset>
            </wp:positionV>
            <wp:extent cx="716343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3435"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21590</wp:posOffset>
            </wp:positionV>
            <wp:extent cx="71215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15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46355</wp:posOffset>
            </wp:positionV>
            <wp:extent cx="71215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ectPr>
          <w:pgSz w:w="11900" w:h="16838" w:orient="portrait"/>
          <w:cols w:equalWidth="0" w:num="1">
            <w:col w:w="11240"/>
          </w:cols>
          <w:pgMar w:left="320" w:top="1274" w:right="339" w:bottom="1440" w:gutter="0" w:footer="0" w:header="0"/>
        </w:sectPr>
      </w:pPr>
    </w:p>
    <w:bookmarkStart w:id="1" w:name="page2"/>
    <w:bookmarkEnd w:id="1"/>
    <w:p>
      <w:pPr>
        <w:spacing w:after="0"/>
        <w:rPr>
          <w:sz w:val="20"/>
          <w:szCs w:val="20"/>
          <w:color w:val="auto"/>
        </w:rPr>
      </w:pPr>
      <w:r>
        <w:rPr>
          <w:rFonts w:ascii="Arial" w:cs="Arial" w:eastAsia="Arial" w:hAnsi="Arial"/>
          <w:sz w:val="17"/>
          <w:szCs w:val="17"/>
          <w:b w:val="1"/>
          <w:bCs w:val="1"/>
          <w:color w:val="auto"/>
        </w:rPr>
        <w:t>Explanatory Note</w:t>
      </w:r>
    </w:p>
    <w:p>
      <w:pPr>
        <w:spacing w:after="0" w:line="224" w:lineRule="exact"/>
        <w:rPr>
          <w:sz w:val="20"/>
          <w:szCs w:val="20"/>
          <w:color w:val="auto"/>
        </w:rPr>
      </w:pPr>
    </w:p>
    <w:p>
      <w:pPr>
        <w:ind w:right="180" w:firstLine="620"/>
        <w:spacing w:after="0" w:line="263" w:lineRule="auto"/>
        <w:rPr>
          <w:sz w:val="20"/>
          <w:szCs w:val="20"/>
          <w:color w:val="auto"/>
        </w:rPr>
      </w:pPr>
      <w:r>
        <w:rPr>
          <w:rFonts w:ascii="Arial" w:cs="Arial" w:eastAsia="Arial" w:hAnsi="Arial"/>
          <w:sz w:val="17"/>
          <w:szCs w:val="17"/>
          <w:color w:val="auto"/>
        </w:rPr>
        <w:t>Zoom Video Communications, Inc. (the “Company”) is filing this Current Report on Form 8-K/A solely to (i) include the “Amortization on marketable securities” line item in its condensed consolidated statements of cash flows which was inadvertently omitted in a press release issued on August 30, 2021 announcing the Company's financial results for the three months ended July 31, 2021 (the “Original Press Release”) and (ii) include Exhibit 104 in the exhibit index.</w:t>
      </w:r>
    </w:p>
    <w:p>
      <w:pPr>
        <w:spacing w:after="0" w:line="17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Company has not made other changes to the information furnished with the original Form 8-K.</w:t>
      </w:r>
    </w:p>
    <w:p>
      <w:pPr>
        <w:spacing w:after="0" w:line="212" w:lineRule="exact"/>
        <w:rPr>
          <w:sz w:val="20"/>
          <w:szCs w:val="20"/>
          <w:color w:val="auto"/>
        </w:rPr>
      </w:pPr>
    </w:p>
    <w:p>
      <w:pPr>
        <w:spacing w:after="0"/>
        <w:tabs>
          <w:tab w:leader="none" w:pos="840" w:val="left"/>
        </w:tabs>
        <w:rPr>
          <w:sz w:val="20"/>
          <w:szCs w:val="20"/>
          <w:color w:val="auto"/>
        </w:rPr>
      </w:pPr>
      <w:r>
        <w:rPr>
          <w:rFonts w:ascii="Arial" w:cs="Arial" w:eastAsia="Arial" w:hAnsi="Arial"/>
          <w:sz w:val="17"/>
          <w:szCs w:val="17"/>
          <w:b w:val="1"/>
          <w:bCs w:val="1"/>
          <w:color w:val="auto"/>
        </w:rPr>
        <w:t>Item 2.02</w:t>
      </w:r>
      <w:r>
        <w:rPr>
          <w:sz w:val="20"/>
          <w:szCs w:val="20"/>
          <w:color w:val="auto"/>
        </w:rPr>
        <w:tab/>
      </w:r>
      <w:r>
        <w:rPr>
          <w:rFonts w:ascii="Arial" w:cs="Arial" w:eastAsia="Arial" w:hAnsi="Arial"/>
          <w:sz w:val="15"/>
          <w:szCs w:val="15"/>
          <w:b w:val="1"/>
          <w:bCs w:val="1"/>
          <w:color w:val="auto"/>
        </w:rPr>
        <w:t>Results of Operations And Financial Condition.</w:t>
      </w:r>
    </w:p>
    <w:p>
      <w:pPr>
        <w:spacing w:after="0" w:line="224" w:lineRule="exact"/>
        <w:rPr>
          <w:sz w:val="20"/>
          <w:szCs w:val="20"/>
          <w:color w:val="auto"/>
        </w:rPr>
      </w:pPr>
    </w:p>
    <w:p>
      <w:pPr>
        <w:ind w:right="20" w:firstLine="620"/>
        <w:spacing w:after="0" w:line="283" w:lineRule="auto"/>
        <w:rPr>
          <w:sz w:val="20"/>
          <w:szCs w:val="20"/>
          <w:color w:val="auto"/>
        </w:rPr>
      </w:pPr>
      <w:r>
        <w:rPr>
          <w:rFonts w:ascii="Arial" w:cs="Arial" w:eastAsia="Arial" w:hAnsi="Arial"/>
          <w:sz w:val="17"/>
          <w:szCs w:val="17"/>
          <w:color w:val="auto"/>
        </w:rPr>
        <w:t>On August 30, 2021, the Company issued the Original Press Release announcing its financial results for the three months ended July 31, 2021. A copy of the press release, as updated, is furnished as Exhibit 99.1 to this report and is incorporated by reference.</w:t>
      </w:r>
    </w:p>
    <w:p>
      <w:pPr>
        <w:spacing w:after="0" w:line="159" w:lineRule="exact"/>
        <w:rPr>
          <w:sz w:val="20"/>
          <w:szCs w:val="20"/>
          <w:color w:val="auto"/>
        </w:rPr>
      </w:pPr>
    </w:p>
    <w:p>
      <w:pPr>
        <w:ind w:right="120" w:firstLine="620"/>
        <w:spacing w:after="0" w:line="263" w:lineRule="auto"/>
        <w:rPr>
          <w:sz w:val="20"/>
          <w:szCs w:val="20"/>
          <w:color w:val="auto"/>
        </w:rPr>
      </w:pPr>
      <w:r>
        <w:rPr>
          <w:rFonts w:ascii="Arial" w:cs="Arial" w:eastAsia="Arial" w:hAnsi="Arial"/>
          <w:sz w:val="17"/>
          <w:szCs w:val="17"/>
          <w:color w:val="auto"/>
        </w:rPr>
        <w:t>The information contained in this report, including Exhibit 99.1 attached hereto, is furnished and shall not be deemed “filed” for purposes of Section 18 of the Securities Exchange Act of 1934, as amended, or subject to the liabilities of that section. The information shall not be deemed incorporated by reference into any other filing with the Securities and Exchange Commission made by the Company regardless of any general incorporation language in such filing, except as shall be expressly set forth by specific reference in such filing.</w:t>
      </w:r>
    </w:p>
    <w:p>
      <w:pPr>
        <w:spacing w:after="0" w:line="171" w:lineRule="exact"/>
        <w:rPr>
          <w:sz w:val="20"/>
          <w:szCs w:val="20"/>
          <w:color w:val="auto"/>
        </w:rPr>
      </w:pPr>
    </w:p>
    <w:p>
      <w:pPr>
        <w:spacing w:after="0"/>
        <w:tabs>
          <w:tab w:leader="none" w:pos="840" w:val="left"/>
        </w:tabs>
        <w:rPr>
          <w:sz w:val="20"/>
          <w:szCs w:val="20"/>
          <w:color w:val="auto"/>
        </w:rPr>
      </w:pPr>
      <w:r>
        <w:rPr>
          <w:rFonts w:ascii="Arial" w:cs="Arial" w:eastAsia="Arial" w:hAnsi="Arial"/>
          <w:sz w:val="17"/>
          <w:szCs w:val="17"/>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1780" w:type="dxa"/>
            <w:vAlign w:val="bottom"/>
            <w:gridSpan w:val="2"/>
          </w:tcPr>
          <w:p>
            <w:pPr>
              <w:spacing w:after="0"/>
              <w:rPr>
                <w:sz w:val="20"/>
                <w:szCs w:val="20"/>
                <w:color w:val="auto"/>
              </w:rPr>
            </w:pPr>
            <w:r>
              <w:rPr>
                <w:rFonts w:ascii="Arial" w:cs="Arial" w:eastAsia="Arial" w:hAnsi="Arial"/>
                <w:sz w:val="17"/>
                <w:szCs w:val="17"/>
                <w:color w:val="auto"/>
              </w:rPr>
              <w:t>(d)  Exhibits</w:t>
            </w:r>
          </w:p>
        </w:tc>
        <w:tc>
          <w:tcPr>
            <w:tcW w:w="440" w:type="dxa"/>
            <w:vAlign w:val="bottom"/>
          </w:tcPr>
          <w:p>
            <w:pPr>
              <w:spacing w:after="0"/>
              <w:rPr>
                <w:sz w:val="19"/>
                <w:szCs w:val="19"/>
                <w:color w:val="auto"/>
              </w:rPr>
            </w:pPr>
          </w:p>
        </w:tc>
        <w:tc>
          <w:tcPr>
            <w:tcW w:w="552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5"/>
        </w:trPr>
        <w:tc>
          <w:tcPr>
            <w:tcW w:w="460" w:type="dxa"/>
            <w:vAlign w:val="bottom"/>
          </w:tcPr>
          <w:p>
            <w:pPr>
              <w:spacing w:after="0"/>
              <w:rPr>
                <w:sz w:val="21"/>
                <w:szCs w:val="21"/>
                <w:color w:val="auto"/>
              </w:rPr>
            </w:pPr>
          </w:p>
        </w:tc>
        <w:tc>
          <w:tcPr>
            <w:tcW w:w="1320" w:type="dxa"/>
            <w:vAlign w:val="bottom"/>
          </w:tcPr>
          <w:p>
            <w:pPr>
              <w:ind w:left="20"/>
              <w:spacing w:after="0"/>
              <w:rPr>
                <w:sz w:val="20"/>
                <w:szCs w:val="20"/>
                <w:color w:val="auto"/>
              </w:rPr>
            </w:pPr>
            <w:r>
              <w:rPr>
                <w:rFonts w:ascii="Arial" w:cs="Arial" w:eastAsia="Arial" w:hAnsi="Arial"/>
                <w:sz w:val="17"/>
                <w:szCs w:val="17"/>
                <w:color w:val="auto"/>
              </w:rPr>
              <w:t>Exhibit No.</w:t>
            </w:r>
          </w:p>
        </w:tc>
        <w:tc>
          <w:tcPr>
            <w:tcW w:w="9460" w:type="dxa"/>
            <w:vAlign w:val="bottom"/>
            <w:gridSpan w:val="4"/>
          </w:tcPr>
          <w:p>
            <w:pPr>
              <w:spacing w:after="0"/>
              <w:rPr>
                <w:sz w:val="20"/>
                <w:szCs w:val="20"/>
                <w:color w:val="auto"/>
              </w:rPr>
            </w:pPr>
            <w:r>
              <w:rPr>
                <w:rFonts w:ascii="Arial" w:cs="Arial" w:eastAsia="Arial" w:hAnsi="Arial"/>
                <w:sz w:val="17"/>
                <w:szCs w:val="17"/>
                <w:color w:val="auto"/>
              </w:rPr>
              <w:t>Description</w:t>
            </w:r>
          </w:p>
        </w:tc>
      </w:tr>
      <w:tr>
        <w:trPr>
          <w:trHeight w:val="20"/>
        </w:trPr>
        <w:tc>
          <w:tcPr>
            <w:tcW w:w="460" w:type="dxa"/>
            <w:vAlign w:val="bottom"/>
          </w:tcPr>
          <w:p>
            <w:pPr>
              <w:spacing w:after="0" w:line="20" w:lineRule="exact"/>
              <w:rPr>
                <w:sz w:val="1"/>
                <w:szCs w:val="1"/>
                <w:color w:val="auto"/>
              </w:rPr>
            </w:pPr>
          </w:p>
        </w:tc>
        <w:tc>
          <w:tcPr>
            <w:tcW w:w="132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520" w:type="dxa"/>
            <w:vAlign w:val="bottom"/>
            <w:shd w:val="clear" w:color="auto" w:fill="000000"/>
          </w:tcPr>
          <w:p>
            <w:pPr>
              <w:spacing w:after="0" w:line="20" w:lineRule="exact"/>
              <w:rPr>
                <w:sz w:val="1"/>
                <w:szCs w:val="1"/>
                <w:color w:val="auto"/>
              </w:rPr>
            </w:pPr>
          </w:p>
        </w:tc>
        <w:tc>
          <w:tcPr>
            <w:tcW w:w="3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4"/>
        </w:trPr>
        <w:tc>
          <w:tcPr>
            <w:tcW w:w="460" w:type="dxa"/>
            <w:vAlign w:val="bottom"/>
          </w:tcPr>
          <w:p>
            <w:pPr>
              <w:spacing w:after="0"/>
              <w:rPr>
                <w:sz w:val="15"/>
                <w:szCs w:val="15"/>
                <w:color w:val="auto"/>
              </w:rPr>
            </w:pPr>
          </w:p>
        </w:tc>
        <w:tc>
          <w:tcPr>
            <w:tcW w:w="1320" w:type="dxa"/>
            <w:vAlign w:val="bottom"/>
          </w:tcPr>
          <w:p>
            <w:pPr>
              <w:jc w:val="right"/>
              <w:ind w:right="654"/>
              <w:spacing w:after="0" w:line="174" w:lineRule="exact"/>
              <w:rPr>
                <w:sz w:val="20"/>
                <w:szCs w:val="20"/>
                <w:color w:val="auto"/>
              </w:rPr>
            </w:pPr>
            <w:r>
              <w:rPr>
                <w:rFonts w:ascii="Arial" w:cs="Arial" w:eastAsia="Arial" w:hAnsi="Arial"/>
                <w:sz w:val="17"/>
                <w:szCs w:val="17"/>
                <w:color w:val="auto"/>
              </w:rPr>
              <w:t>99.1</w:t>
            </w:r>
          </w:p>
        </w:tc>
        <w:tc>
          <w:tcPr>
            <w:tcW w:w="5960" w:type="dxa"/>
            <w:vAlign w:val="bottom"/>
            <w:tcBorders>
              <w:bottom w:val="single" w:sz="8" w:color="0000FF"/>
            </w:tcBorders>
            <w:gridSpan w:val="2"/>
          </w:tcPr>
          <w:p>
            <w:pPr>
              <w:spacing w:after="0" w:line="174" w:lineRule="exact"/>
              <w:rPr>
                <w:rFonts w:ascii="Arial" w:cs="Arial" w:eastAsia="Arial" w:hAnsi="Arial"/>
                <w:sz w:val="17"/>
                <w:szCs w:val="17"/>
                <w:color w:val="0000FF"/>
                <w:w w:val="90"/>
              </w:rPr>
            </w:pPr>
            <w:hyperlink w:anchor="page4">
              <w:r>
                <w:rPr>
                  <w:rFonts w:ascii="Arial" w:cs="Arial" w:eastAsia="Arial" w:hAnsi="Arial"/>
                  <w:sz w:val="17"/>
                  <w:szCs w:val="17"/>
                  <w:color w:val="0000FF"/>
                  <w:w w:val="90"/>
                </w:rPr>
                <w:t>Press release dated August 30, 2021 of Zoom Video Communications, Inc., as updated</w:t>
              </w:r>
            </w:hyperlink>
          </w:p>
        </w:tc>
        <w:tc>
          <w:tcPr>
            <w:tcW w:w="3500" w:type="dxa"/>
            <w:vAlign w:val="bottom"/>
            <w:gridSpan w:val="2"/>
          </w:tcPr>
          <w:p>
            <w:pPr>
              <w:spacing w:after="0"/>
              <w:rPr>
                <w:sz w:val="15"/>
                <w:szCs w:val="15"/>
                <w:color w:val="auto"/>
              </w:rPr>
            </w:pPr>
          </w:p>
        </w:tc>
      </w:tr>
      <w:tr>
        <w:trPr>
          <w:trHeight w:val="239"/>
        </w:trPr>
        <w:tc>
          <w:tcPr>
            <w:tcW w:w="1780" w:type="dxa"/>
            <w:vAlign w:val="bottom"/>
            <w:gridSpan w:val="2"/>
          </w:tcPr>
          <w:p>
            <w:pPr>
              <w:jc w:val="right"/>
              <w:ind w:right="674"/>
              <w:spacing w:after="0"/>
              <w:rPr>
                <w:sz w:val="20"/>
                <w:szCs w:val="20"/>
                <w:color w:val="auto"/>
              </w:rPr>
            </w:pPr>
            <w:r>
              <w:rPr>
                <w:rFonts w:ascii="Arial" w:cs="Arial" w:eastAsia="Arial" w:hAnsi="Arial"/>
                <w:sz w:val="17"/>
                <w:szCs w:val="17"/>
                <w:color w:val="auto"/>
              </w:rPr>
              <w:t>104</w:t>
            </w:r>
          </w:p>
        </w:tc>
        <w:tc>
          <w:tcPr>
            <w:tcW w:w="9460" w:type="dxa"/>
            <w:vAlign w:val="bottom"/>
            <w:gridSpan w:val="4"/>
          </w:tcPr>
          <w:p>
            <w:pPr>
              <w:spacing w:after="0"/>
              <w:rPr>
                <w:sz w:val="20"/>
                <w:szCs w:val="20"/>
                <w:color w:val="auto"/>
              </w:rPr>
            </w:pPr>
            <w:r>
              <w:rPr>
                <w:rFonts w:ascii="Arial" w:cs="Arial" w:eastAsia="Arial" w:hAnsi="Arial"/>
                <w:sz w:val="17"/>
                <w:szCs w:val="17"/>
                <w:color w:val="auto"/>
              </w:rPr>
              <w:t>Cover Page Interactive Data File (embedded within the Inline XBRL document)</w:t>
            </w:r>
          </w:p>
        </w:tc>
      </w:tr>
      <w:tr>
        <w:trPr>
          <w:trHeight w:val="1168"/>
        </w:trPr>
        <w:tc>
          <w:tcPr>
            <w:tcW w:w="46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5520" w:type="dxa"/>
            <w:vAlign w:val="bottom"/>
            <w:tcBorders>
              <w:bottom w:val="single" w:sz="8" w:color="9A9A9A"/>
            </w:tcBorders>
          </w:tcPr>
          <w:p>
            <w:pPr>
              <w:spacing w:after="0"/>
              <w:rPr>
                <w:sz w:val="24"/>
                <w:szCs w:val="24"/>
                <w:color w:val="auto"/>
              </w:rPr>
            </w:pPr>
          </w:p>
        </w:tc>
        <w:tc>
          <w:tcPr>
            <w:tcW w:w="34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64" w:right="339" w:bottom="1440" w:gutter="0" w:footer="0" w:header="0"/>
        </w:sectPr>
      </w:pPr>
    </w:p>
    <w:bookmarkStart w:id="2" w:name="page3"/>
    <w:bookmarkEnd w:id="2"/>
    <w:p>
      <w:pPr>
        <w:jc w:val="center"/>
        <w:ind w:right="100"/>
        <w:spacing w:after="0"/>
        <w:rPr>
          <w:sz w:val="20"/>
          <w:szCs w:val="20"/>
          <w:color w:val="auto"/>
        </w:rPr>
      </w:pPr>
      <w:r>
        <w:rPr>
          <w:rFonts w:ascii="Arial" w:cs="Arial" w:eastAsia="Arial" w:hAnsi="Arial"/>
          <w:sz w:val="17"/>
          <w:szCs w:val="17"/>
          <w:b w:val="1"/>
          <w:bCs w:val="1"/>
          <w:color w:val="auto"/>
        </w:rPr>
        <w:t>SIGNATURES</w:t>
      </w:r>
    </w:p>
    <w:p>
      <w:pPr>
        <w:spacing w:after="0" w:line="224" w:lineRule="exact"/>
        <w:rPr>
          <w:sz w:val="20"/>
          <w:szCs w:val="20"/>
          <w:color w:val="auto"/>
        </w:rPr>
      </w:pPr>
    </w:p>
    <w:p>
      <w:pPr>
        <w:ind w:right="180" w:firstLine="620"/>
        <w:spacing w:after="0" w:line="283" w:lineRule="auto"/>
        <w:rPr>
          <w:sz w:val="20"/>
          <w:szCs w:val="20"/>
          <w:color w:val="auto"/>
        </w:rPr>
      </w:pPr>
      <w:r>
        <w:rPr>
          <w:rFonts w:ascii="Arial" w:cs="Arial" w:eastAsia="Arial" w:hAnsi="Arial"/>
          <w:sz w:val="17"/>
          <w:szCs w:val="17"/>
          <w:color w:val="auto"/>
        </w:rPr>
        <w:t>Pursuant to the requirements of the Securities Exchange Act of 1934, as amended, the Registrant has duly caused this report to be signed on its behalf by the undersigned hereunto duly authorized.</w:t>
      </w:r>
    </w:p>
    <w:p>
      <w:pPr>
        <w:spacing w:after="0" w:line="192" w:lineRule="exact"/>
        <w:rPr>
          <w:sz w:val="20"/>
          <w:szCs w:val="20"/>
          <w:color w:val="auto"/>
        </w:rPr>
      </w:pPr>
    </w:p>
    <w:tbl>
      <w:tblPr>
        <w:tblLayout w:type="fixed"/>
        <w:tblInd w:w="1260" w:type="dxa"/>
        <w:tblCellMar>
          <w:top w:w="0" w:type="dxa"/>
          <w:left w:w="0" w:type="dxa"/>
          <w:bottom w:w="0" w:type="dxa"/>
          <w:right w:w="0" w:type="dxa"/>
        </w:tblCellMar>
      </w:tblPr>
      <w:tr>
        <w:trPr>
          <w:trHeight w:val="225"/>
        </w:trPr>
        <w:tc>
          <w:tcPr>
            <w:tcW w:w="3400" w:type="dxa"/>
            <w:vAlign w:val="bottom"/>
          </w:tcPr>
          <w:p>
            <w:pPr>
              <w:spacing w:after="0"/>
              <w:rPr>
                <w:sz w:val="19"/>
                <w:szCs w:val="19"/>
                <w:color w:val="auto"/>
              </w:rPr>
            </w:pPr>
          </w:p>
        </w:tc>
        <w:tc>
          <w:tcPr>
            <w:tcW w:w="6680" w:type="dxa"/>
            <w:vAlign w:val="bottom"/>
            <w:gridSpan w:val="2"/>
          </w:tcPr>
          <w:p>
            <w:pPr>
              <w:ind w:left="1740"/>
              <w:spacing w:after="0"/>
              <w:rPr>
                <w:sz w:val="20"/>
                <w:szCs w:val="20"/>
                <w:color w:val="auto"/>
              </w:rPr>
            </w:pPr>
            <w:r>
              <w:rPr>
                <w:rFonts w:ascii="Arial" w:cs="Arial" w:eastAsia="Arial" w:hAnsi="Arial"/>
                <w:sz w:val="17"/>
                <w:szCs w:val="17"/>
                <w:b w:val="1"/>
                <w:bCs w:val="1"/>
                <w:color w:val="auto"/>
              </w:rPr>
              <w:t>Zoom Video Communications, Inc.</w:t>
            </w:r>
          </w:p>
        </w:tc>
      </w:tr>
      <w:tr>
        <w:trPr>
          <w:trHeight w:val="465"/>
        </w:trPr>
        <w:tc>
          <w:tcPr>
            <w:tcW w:w="3400" w:type="dxa"/>
            <w:vAlign w:val="bottom"/>
          </w:tcPr>
          <w:p>
            <w:pPr>
              <w:spacing w:after="0"/>
              <w:rPr>
                <w:sz w:val="20"/>
                <w:szCs w:val="20"/>
                <w:color w:val="auto"/>
              </w:rPr>
            </w:pPr>
            <w:r>
              <w:rPr>
                <w:rFonts w:ascii="Arial" w:cs="Arial" w:eastAsia="Arial" w:hAnsi="Arial"/>
                <w:sz w:val="17"/>
                <w:szCs w:val="17"/>
                <w:color w:val="auto"/>
              </w:rPr>
              <w:t>Dated: August 31, 2021</w:t>
            </w:r>
          </w:p>
        </w:tc>
        <w:tc>
          <w:tcPr>
            <w:tcW w:w="2020" w:type="dxa"/>
            <w:vAlign w:val="bottom"/>
          </w:tcPr>
          <w:p>
            <w:pPr>
              <w:ind w:left="1740"/>
              <w:spacing w:after="0"/>
              <w:rPr>
                <w:sz w:val="20"/>
                <w:szCs w:val="20"/>
                <w:color w:val="auto"/>
              </w:rPr>
            </w:pPr>
            <w:r>
              <w:rPr>
                <w:rFonts w:ascii="Arial" w:cs="Arial" w:eastAsia="Arial" w:hAnsi="Arial"/>
                <w:sz w:val="17"/>
                <w:szCs w:val="17"/>
                <w:color w:val="auto"/>
              </w:rPr>
              <w:t>By:</w:t>
            </w:r>
          </w:p>
        </w:tc>
        <w:tc>
          <w:tcPr>
            <w:tcW w:w="4660" w:type="dxa"/>
            <w:vAlign w:val="bottom"/>
            <w:tcBorders>
              <w:bottom w:val="single" w:sz="8" w:color="auto"/>
            </w:tcBorders>
          </w:tcPr>
          <w:p>
            <w:pPr>
              <w:ind w:left="620"/>
              <w:spacing w:after="0"/>
              <w:rPr>
                <w:sz w:val="20"/>
                <w:szCs w:val="20"/>
                <w:color w:val="auto"/>
              </w:rPr>
            </w:pPr>
            <w:r>
              <w:rPr>
                <w:rFonts w:ascii="Arial" w:cs="Arial" w:eastAsia="Arial" w:hAnsi="Arial"/>
                <w:sz w:val="17"/>
                <w:szCs w:val="17"/>
                <w:color w:val="auto"/>
              </w:rPr>
              <w:t>/s/ Kelly Steckelberg</w:t>
            </w:r>
          </w:p>
        </w:tc>
      </w:tr>
      <w:tr>
        <w:trPr>
          <w:trHeight w:val="213"/>
        </w:trPr>
        <w:tc>
          <w:tcPr>
            <w:tcW w:w="34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4660" w:type="dxa"/>
            <w:vAlign w:val="bottom"/>
          </w:tcPr>
          <w:p>
            <w:pPr>
              <w:ind w:left="620"/>
              <w:spacing w:after="0"/>
              <w:rPr>
                <w:sz w:val="20"/>
                <w:szCs w:val="20"/>
                <w:color w:val="auto"/>
              </w:rPr>
            </w:pPr>
            <w:r>
              <w:rPr>
                <w:rFonts w:ascii="Arial" w:cs="Arial" w:eastAsia="Arial" w:hAnsi="Arial"/>
                <w:sz w:val="17"/>
                <w:szCs w:val="17"/>
                <w:color w:val="auto"/>
              </w:rPr>
              <w:t>Kelly Steckelberg</w:t>
            </w:r>
          </w:p>
        </w:tc>
      </w:tr>
      <w:tr>
        <w:trPr>
          <w:trHeight w:val="220"/>
        </w:trPr>
        <w:tc>
          <w:tcPr>
            <w:tcW w:w="34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4660" w:type="dxa"/>
            <w:vAlign w:val="bottom"/>
          </w:tcPr>
          <w:p>
            <w:pPr>
              <w:ind w:left="620"/>
              <w:spacing w:after="0"/>
              <w:rPr>
                <w:sz w:val="20"/>
                <w:szCs w:val="20"/>
                <w:color w:val="auto"/>
              </w:rPr>
            </w:pPr>
            <w:r>
              <w:rPr>
                <w:rFonts w:ascii="Arial" w:cs="Arial" w:eastAsia="Arial" w:hAnsi="Arial"/>
                <w:sz w:val="17"/>
                <w:szCs w:val="17"/>
                <w:i w:val="1"/>
                <w:iCs w:val="1"/>
                <w:color w:val="auto"/>
              </w:rPr>
              <w:t>Chief Financial Officer</w:t>
            </w:r>
          </w:p>
        </w:tc>
      </w:tr>
    </w:tbl>
    <w:p>
      <w:pPr>
        <w:sectPr>
          <w:pgSz w:w="11900" w:h="16838" w:orient="portrait"/>
          <w:cols w:equalWidth="0" w:num="1">
            <w:col w:w="11340"/>
          </w:cols>
          <w:pgMar w:left="320" w:top="858"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7"/>
          <w:szCs w:val="17"/>
          <w:color w:val="auto"/>
        </w:rPr>
        <w:t>Exhibit 99.1</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Zoom Reports Financial Results for the Second Quarter of Fiscal Year 2022</w:t>
      </w:r>
    </w:p>
    <w:p>
      <w:pPr>
        <w:spacing w:after="0" w:line="121" w:lineRule="exact"/>
        <w:rPr>
          <w:sz w:val="20"/>
          <w:szCs w:val="20"/>
          <w:color w:val="auto"/>
        </w:rPr>
      </w:pPr>
    </w:p>
    <w:p>
      <w:pPr>
        <w:ind w:left="920" w:hanging="296"/>
        <w:spacing w:after="0"/>
        <w:tabs>
          <w:tab w:leader="none" w:pos="920"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Second quarter total revenue of $1,021.5 million, up 54% year over year</w:t>
      </w:r>
    </w:p>
    <w:p>
      <w:pPr>
        <w:spacing w:after="0" w:line="114" w:lineRule="exact"/>
        <w:rPr>
          <w:rFonts w:ascii="Arial" w:cs="Arial" w:eastAsia="Arial" w:hAnsi="Arial"/>
          <w:sz w:val="17"/>
          <w:szCs w:val="17"/>
          <w:b w:val="1"/>
          <w:bCs w:val="1"/>
          <w:color w:val="auto"/>
        </w:rPr>
      </w:pPr>
    </w:p>
    <w:p>
      <w:pPr>
        <w:ind w:left="920" w:hanging="296"/>
        <w:spacing w:after="0"/>
        <w:tabs>
          <w:tab w:leader="none" w:pos="920" w:val="left"/>
        </w:tabs>
        <w:numPr>
          <w:ilvl w:val="0"/>
          <w:numId w:val="2"/>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Number of customers contributing more than $100,000 in TTM revenue up 131% year over year</w:t>
      </w:r>
    </w:p>
    <w:p>
      <w:pPr>
        <w:spacing w:after="0" w:line="114" w:lineRule="exact"/>
        <w:rPr>
          <w:rFonts w:ascii="Arial" w:cs="Arial" w:eastAsia="Arial" w:hAnsi="Arial"/>
          <w:sz w:val="17"/>
          <w:szCs w:val="17"/>
          <w:b w:val="1"/>
          <w:bCs w:val="1"/>
          <w:i w:val="1"/>
          <w:iCs w:val="1"/>
          <w:color w:val="auto"/>
        </w:rPr>
      </w:pPr>
    </w:p>
    <w:p>
      <w:pPr>
        <w:ind w:left="920" w:hanging="296"/>
        <w:spacing w:after="0"/>
        <w:tabs>
          <w:tab w:leader="none" w:pos="920" w:val="left"/>
        </w:tabs>
        <w:numPr>
          <w:ilvl w:val="0"/>
          <w:numId w:val="2"/>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Second quarter GAAP operating margin of 28.8% and non-GAAP operating margin of 41.6%</w:t>
      </w:r>
    </w:p>
    <w:p>
      <w:pPr>
        <w:spacing w:after="0" w:line="238" w:lineRule="exact"/>
        <w:rPr>
          <w:sz w:val="20"/>
          <w:szCs w:val="20"/>
          <w:color w:val="auto"/>
        </w:rPr>
      </w:pPr>
    </w:p>
    <w:p>
      <w:pPr>
        <w:ind w:right="180"/>
        <w:spacing w:after="0" w:line="290" w:lineRule="auto"/>
        <w:rPr>
          <w:sz w:val="20"/>
          <w:szCs w:val="20"/>
          <w:color w:val="auto"/>
        </w:rPr>
      </w:pPr>
      <w:r>
        <w:rPr>
          <w:rFonts w:ascii="Arial" w:cs="Arial" w:eastAsia="Arial" w:hAnsi="Arial"/>
          <w:sz w:val="17"/>
          <w:szCs w:val="17"/>
          <w:b w:val="1"/>
          <w:bCs w:val="1"/>
          <w:color w:val="auto"/>
        </w:rPr>
        <w:t xml:space="preserve">SAN JOSE, California – </w:t>
      </w:r>
      <w:r>
        <w:rPr>
          <w:rFonts w:ascii="Arial" w:cs="Arial" w:eastAsia="Arial" w:hAnsi="Arial"/>
          <w:sz w:val="17"/>
          <w:szCs w:val="17"/>
          <w:color w:val="auto"/>
        </w:rPr>
        <w:t>August 30, 2021 – Zoom Video Communications, Inc. (NASDAQ: ZM) is updating this press release to include the “Amortization on</w:t>
      </w:r>
      <w:r>
        <w:rPr>
          <w:rFonts w:ascii="Arial" w:cs="Arial" w:eastAsia="Arial" w:hAnsi="Arial"/>
          <w:sz w:val="17"/>
          <w:szCs w:val="17"/>
          <w:b w:val="1"/>
          <w:bCs w:val="1"/>
          <w:color w:val="auto"/>
        </w:rPr>
        <w:t xml:space="preserve"> </w:t>
      </w:r>
      <w:r>
        <w:rPr>
          <w:rFonts w:ascii="Arial" w:cs="Arial" w:eastAsia="Arial" w:hAnsi="Arial"/>
          <w:sz w:val="17"/>
          <w:szCs w:val="17"/>
          <w:color w:val="auto"/>
        </w:rPr>
        <w:t>marketable securities” line item in its condensed consolidated statements of cash flows. Complete corrected text follows.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Zoom Video Communications, Inc. (NASDAQ: ZM) today announced financial results for the second fiscal quarter ended July 31, 2021.</w:t>
      </w:r>
    </w:p>
    <w:p>
      <w:pPr>
        <w:spacing w:after="0" w:line="218"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“In Q2, we achieved our first billion dollar revenue quarter while delivering strong profitability and cash flow,” said Zoom founder and CEO, Eric S. Yuan. “Q2 also marked several milestones on our expansion beyond the UC platform. We launched Zoom Apps, bringing over 50 apps directly into the Zoom experience, and Zoom Events, an all-in-one digital events service. Today we are a global brand counting over half a million customers with more than 10 employees, which we believe positions us extremely well to support organizations and individuals as they look to reimagine work, communications, and collaboration.”</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Second Quarter Fiscal Year 2022 Financial Highlights:</w:t>
      </w:r>
    </w:p>
    <w:p>
      <w:pPr>
        <w:spacing w:after="0" w:line="218" w:lineRule="exact"/>
        <w:rPr>
          <w:sz w:val="20"/>
          <w:szCs w:val="20"/>
          <w:color w:val="auto"/>
        </w:rPr>
      </w:pPr>
    </w:p>
    <w:p>
      <w:pPr>
        <w:ind w:left="920" w:hanging="296"/>
        <w:spacing w:after="0"/>
        <w:tabs>
          <w:tab w:leader="none" w:pos="920"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Revenue: </w:t>
      </w:r>
      <w:r>
        <w:rPr>
          <w:rFonts w:ascii="Arial" w:cs="Arial" w:eastAsia="Arial" w:hAnsi="Arial"/>
          <w:sz w:val="17"/>
          <w:szCs w:val="17"/>
          <w:color w:val="auto"/>
        </w:rPr>
        <w:t>Total revenue for the second quarter was $1,021.5 million, up 54% year over year.</w:t>
      </w:r>
    </w:p>
    <w:p>
      <w:pPr>
        <w:spacing w:after="0" w:line="114" w:lineRule="exact"/>
        <w:rPr>
          <w:rFonts w:ascii="Arial" w:cs="Arial" w:eastAsia="Arial" w:hAnsi="Arial"/>
          <w:sz w:val="17"/>
          <w:szCs w:val="17"/>
          <w:b w:val="1"/>
          <w:bCs w:val="1"/>
          <w:color w:val="auto"/>
        </w:rPr>
      </w:pPr>
    </w:p>
    <w:p>
      <w:pPr>
        <w:ind w:left="940" w:right="80" w:hanging="316"/>
        <w:spacing w:after="0" w:line="263" w:lineRule="auto"/>
        <w:tabs>
          <w:tab w:leader="none" w:pos="936" w:val="left"/>
        </w:tabs>
        <w:numPr>
          <w:ilvl w:val="0"/>
          <w:numId w:val="3"/>
        </w:numPr>
        <w:rPr>
          <w:rFonts w:ascii="Arial" w:cs="Arial" w:eastAsia="Arial" w:hAnsi="Arial"/>
          <w:sz w:val="17"/>
          <w:szCs w:val="17"/>
          <w:color w:val="auto"/>
        </w:rPr>
      </w:pPr>
      <w:r>
        <w:rPr>
          <w:rFonts w:ascii="Arial" w:cs="Arial" w:eastAsia="Arial" w:hAnsi="Arial"/>
          <w:sz w:val="17"/>
          <w:szCs w:val="17"/>
          <w:b w:val="1"/>
          <w:bCs w:val="1"/>
          <w:color w:val="auto"/>
        </w:rPr>
        <w:t xml:space="preserve">Income from Operations and Operating Margin: </w:t>
      </w:r>
      <w:r>
        <w:rPr>
          <w:rFonts w:ascii="Arial" w:cs="Arial" w:eastAsia="Arial" w:hAnsi="Arial"/>
          <w:sz w:val="17"/>
          <w:szCs w:val="17"/>
          <w:color w:val="auto"/>
        </w:rPr>
        <w:t>GAAP income from operations for the second quarter was $294.6 million, up from $188.1</w:t>
      </w:r>
      <w:r>
        <w:rPr>
          <w:rFonts w:ascii="Arial" w:cs="Arial" w:eastAsia="Arial" w:hAnsi="Arial"/>
          <w:sz w:val="17"/>
          <w:szCs w:val="17"/>
          <w:b w:val="1"/>
          <w:bCs w:val="1"/>
          <w:color w:val="auto"/>
        </w:rPr>
        <w:t xml:space="preserve"> </w:t>
      </w:r>
      <w:r>
        <w:rPr>
          <w:rFonts w:ascii="Arial" w:cs="Arial" w:eastAsia="Arial" w:hAnsi="Arial"/>
          <w:sz w:val="17"/>
          <w:szCs w:val="17"/>
          <w:color w:val="auto"/>
        </w:rPr>
        <w:t>million in the second quarter of fiscal year 2021. After adjusting for stock-based compensation expense and related payroll taxes, acquisition-related expenses, and expenses related to charitable donation of common stock, non-GAAP income from operations for the second quarter was $424.7 million, up from $277.0 million in the second quarter of fiscal year 2021. For the second quarter, GAAP operating margin was 28.8% and non-GAAP operating margin was 41.6%.</w:t>
      </w:r>
    </w:p>
    <w:p>
      <w:pPr>
        <w:spacing w:after="0" w:line="169" w:lineRule="exact"/>
        <w:rPr>
          <w:rFonts w:ascii="Arial" w:cs="Arial" w:eastAsia="Arial" w:hAnsi="Arial"/>
          <w:sz w:val="17"/>
          <w:szCs w:val="17"/>
          <w:color w:val="auto"/>
        </w:rPr>
      </w:pPr>
    </w:p>
    <w:p>
      <w:pPr>
        <w:ind w:left="940" w:right="580" w:hanging="316"/>
        <w:spacing w:after="0" w:line="290" w:lineRule="auto"/>
        <w:tabs>
          <w:tab w:leader="none" w:pos="936"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Net Income and Diluted Net Income Per Share: </w:t>
      </w:r>
      <w:r>
        <w:rPr>
          <w:rFonts w:ascii="Arial" w:cs="Arial" w:eastAsia="Arial" w:hAnsi="Arial"/>
          <w:sz w:val="17"/>
          <w:szCs w:val="17"/>
          <w:color w:val="auto"/>
        </w:rPr>
        <w:t>GAAP net income attributable to common stockholders for the second quarter was $316.9</w:t>
      </w:r>
      <w:r>
        <w:rPr>
          <w:rFonts w:ascii="Arial" w:cs="Arial" w:eastAsia="Arial" w:hAnsi="Arial"/>
          <w:sz w:val="17"/>
          <w:szCs w:val="17"/>
          <w:b w:val="1"/>
          <w:bCs w:val="1"/>
          <w:color w:val="auto"/>
        </w:rPr>
        <w:t xml:space="preserve"> </w:t>
      </w:r>
      <w:r>
        <w:rPr>
          <w:rFonts w:ascii="Arial" w:cs="Arial" w:eastAsia="Arial" w:hAnsi="Arial"/>
          <w:sz w:val="17"/>
          <w:szCs w:val="17"/>
          <w:color w:val="auto"/>
        </w:rPr>
        <w:t>million, or $1.04 per share, up from $185.7 million, or $0.63 per share in the second quarter of fiscal year 2021.</w:t>
      </w:r>
    </w:p>
    <w:p>
      <w:pPr>
        <w:spacing w:after="0" w:line="50" w:lineRule="exact"/>
        <w:rPr>
          <w:rFonts w:ascii="Arial" w:cs="Arial" w:eastAsia="Arial" w:hAnsi="Arial"/>
          <w:sz w:val="17"/>
          <w:szCs w:val="17"/>
          <w:b w:val="1"/>
          <w:bCs w:val="1"/>
          <w:color w:val="auto"/>
        </w:rPr>
      </w:pPr>
    </w:p>
    <w:p>
      <w:pPr>
        <w:ind w:left="940" w:right="80"/>
        <w:spacing w:after="0" w:line="263" w:lineRule="auto"/>
        <w:rPr>
          <w:rFonts w:ascii="Arial" w:cs="Arial" w:eastAsia="Arial" w:hAnsi="Arial"/>
          <w:sz w:val="17"/>
          <w:szCs w:val="17"/>
          <w:b w:val="1"/>
          <w:bCs w:val="1"/>
          <w:color w:val="auto"/>
        </w:rPr>
      </w:pPr>
      <w:r>
        <w:rPr>
          <w:rFonts w:ascii="Arial" w:cs="Arial" w:eastAsia="Arial" w:hAnsi="Arial"/>
          <w:sz w:val="17"/>
          <w:szCs w:val="17"/>
          <w:color w:val="auto"/>
        </w:rPr>
        <w:t>Non-GAAP net income for the quarter was $415.1 million, after adjusting for stock-based compensation expense and related payroll taxes, acquisition-related expenses, gains on strategic investments, undistributed earnings attributable to participating securities, and expenses related to charitable donation of common stock. Non-GAAP net income per share was $1.36. In the second quarter of fiscal year 2021, non-GAAP net income was $274.8 million, or $0.92 per share.</w:t>
      </w:r>
    </w:p>
    <w:p>
      <w:pPr>
        <w:spacing w:after="0" w:line="170" w:lineRule="exact"/>
        <w:rPr>
          <w:rFonts w:ascii="Arial" w:cs="Arial" w:eastAsia="Arial" w:hAnsi="Arial"/>
          <w:sz w:val="17"/>
          <w:szCs w:val="17"/>
          <w:b w:val="1"/>
          <w:bCs w:val="1"/>
          <w:color w:val="auto"/>
        </w:rPr>
      </w:pPr>
    </w:p>
    <w:p>
      <w:pPr>
        <w:ind w:left="940" w:right="260" w:hanging="316"/>
        <w:spacing w:after="0" w:line="290" w:lineRule="auto"/>
        <w:tabs>
          <w:tab w:leader="none" w:pos="936"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Cash and Marketable Securities: </w:t>
      </w:r>
      <w:r>
        <w:rPr>
          <w:rFonts w:ascii="Arial" w:cs="Arial" w:eastAsia="Arial" w:hAnsi="Arial"/>
          <w:sz w:val="17"/>
          <w:szCs w:val="17"/>
          <w:color w:val="auto"/>
        </w:rPr>
        <w:t>Total cash, cash equivalents, and marketable securities, excluding restricted cash, as of July 31, 2021 was $5.1</w:t>
      </w:r>
      <w:r>
        <w:rPr>
          <w:rFonts w:ascii="Arial" w:cs="Arial" w:eastAsia="Arial" w:hAnsi="Arial"/>
          <w:sz w:val="17"/>
          <w:szCs w:val="17"/>
          <w:b w:val="1"/>
          <w:bCs w:val="1"/>
          <w:color w:val="auto"/>
        </w:rPr>
        <w:t xml:space="preserve"> </w:t>
      </w:r>
      <w:r>
        <w:rPr>
          <w:rFonts w:ascii="Arial" w:cs="Arial" w:eastAsia="Arial" w:hAnsi="Arial"/>
          <w:sz w:val="17"/>
          <w:szCs w:val="17"/>
          <w:color w:val="auto"/>
        </w:rPr>
        <w:t>billion.</w:t>
      </w:r>
    </w:p>
    <w:p>
      <w:pPr>
        <w:spacing w:after="0" w:line="44" w:lineRule="exact"/>
        <w:rPr>
          <w:rFonts w:ascii="Arial" w:cs="Arial" w:eastAsia="Arial" w:hAnsi="Arial"/>
          <w:sz w:val="17"/>
          <w:szCs w:val="17"/>
          <w:b w:val="1"/>
          <w:bCs w:val="1"/>
          <w:color w:val="auto"/>
        </w:rPr>
      </w:pPr>
    </w:p>
    <w:p>
      <w:pPr>
        <w:ind w:left="940" w:right="20" w:hanging="316"/>
        <w:spacing w:after="0" w:line="272" w:lineRule="auto"/>
        <w:tabs>
          <w:tab w:leader="none" w:pos="936" w:val="left"/>
        </w:tabs>
        <w:numPr>
          <w:ilvl w:val="0"/>
          <w:numId w:val="3"/>
        </w:numPr>
        <w:rPr>
          <w:rFonts w:ascii="Arial" w:cs="Arial" w:eastAsia="Arial" w:hAnsi="Arial"/>
          <w:sz w:val="17"/>
          <w:szCs w:val="17"/>
          <w:color w:val="auto"/>
        </w:rPr>
      </w:pPr>
      <w:r>
        <w:rPr>
          <w:rFonts w:ascii="Arial" w:cs="Arial" w:eastAsia="Arial" w:hAnsi="Arial"/>
          <w:sz w:val="17"/>
          <w:szCs w:val="17"/>
          <w:b w:val="1"/>
          <w:bCs w:val="1"/>
          <w:color w:val="auto"/>
        </w:rPr>
        <w:t xml:space="preserve">Cash Flow: </w:t>
      </w:r>
      <w:r>
        <w:rPr>
          <w:rFonts w:ascii="Arial" w:cs="Arial" w:eastAsia="Arial" w:hAnsi="Arial"/>
          <w:sz w:val="17"/>
          <w:szCs w:val="17"/>
          <w:color w:val="auto"/>
        </w:rPr>
        <w:t>Net cash provided by operating activities was $468.0 million for the second quarter, compared to $401.3 million in the second quarter of</w:t>
      </w:r>
      <w:r>
        <w:rPr>
          <w:rFonts w:ascii="Arial" w:cs="Arial" w:eastAsia="Arial" w:hAnsi="Arial"/>
          <w:sz w:val="17"/>
          <w:szCs w:val="17"/>
          <w:b w:val="1"/>
          <w:bCs w:val="1"/>
          <w:color w:val="auto"/>
        </w:rPr>
        <w:t xml:space="preserve"> </w:t>
      </w:r>
      <w:r>
        <w:rPr>
          <w:rFonts w:ascii="Arial" w:cs="Arial" w:eastAsia="Arial" w:hAnsi="Arial"/>
          <w:sz w:val="17"/>
          <w:szCs w:val="17"/>
          <w:color w:val="auto"/>
        </w:rPr>
        <w:t>fiscal year 2021. Free cash flow, which is net cash provided by operating activities less purchases of property and equipment, was $455.0 million, compared to $373.4 million in the second quarter of fiscal year 2021.</w:t>
      </w:r>
    </w:p>
    <w:p>
      <w:pPr>
        <w:spacing w:after="0" w:line="162" w:lineRule="exact"/>
        <w:rPr>
          <w:sz w:val="20"/>
          <w:szCs w:val="20"/>
          <w:color w:val="auto"/>
        </w:rPr>
      </w:pPr>
    </w:p>
    <w:p>
      <w:pPr>
        <w:spacing w:after="0" w:line="290" w:lineRule="auto"/>
        <w:rPr>
          <w:sz w:val="20"/>
          <w:szCs w:val="20"/>
          <w:color w:val="auto"/>
        </w:rPr>
      </w:pPr>
      <w:r>
        <w:rPr>
          <w:rFonts w:ascii="Arial" w:cs="Arial" w:eastAsia="Arial" w:hAnsi="Arial"/>
          <w:sz w:val="17"/>
          <w:szCs w:val="17"/>
          <w:b w:val="1"/>
          <w:bCs w:val="1"/>
          <w:color w:val="auto"/>
        </w:rPr>
        <w:t xml:space="preserve">Customer Metrics: </w:t>
      </w:r>
      <w:r>
        <w:rPr>
          <w:rFonts w:ascii="Arial" w:cs="Arial" w:eastAsia="Arial" w:hAnsi="Arial"/>
          <w:sz w:val="17"/>
          <w:szCs w:val="17"/>
          <w:color w:val="auto"/>
        </w:rPr>
        <w:t>Drivers of total revenue included acquiring new customers and expanding across existing customers. At the end of the second quarter of fiscal</w:t>
      </w:r>
      <w:r>
        <w:rPr>
          <w:rFonts w:ascii="Arial" w:cs="Arial" w:eastAsia="Arial" w:hAnsi="Arial"/>
          <w:sz w:val="17"/>
          <w:szCs w:val="17"/>
          <w:b w:val="1"/>
          <w:bCs w:val="1"/>
          <w:color w:val="auto"/>
        </w:rPr>
        <w:t xml:space="preserve"> </w:t>
      </w:r>
      <w:r>
        <w:rPr>
          <w:rFonts w:ascii="Arial" w:cs="Arial" w:eastAsia="Arial" w:hAnsi="Arial"/>
          <w:sz w:val="17"/>
          <w:szCs w:val="17"/>
          <w:color w:val="auto"/>
        </w:rPr>
        <w:t>year 2022, Zoom had:</w:t>
      </w:r>
    </w:p>
    <w:p>
      <w:pPr>
        <w:spacing w:after="0" w:line="50" w:lineRule="exact"/>
        <w:rPr>
          <w:sz w:val="20"/>
          <w:szCs w:val="20"/>
          <w:color w:val="auto"/>
        </w:rPr>
      </w:pPr>
    </w:p>
    <w:p>
      <w:pPr>
        <w:ind w:left="920" w:hanging="296"/>
        <w:spacing w:after="0"/>
        <w:tabs>
          <w:tab w:leader="none" w:pos="920" w:val="left"/>
        </w:tabs>
        <w:numPr>
          <w:ilvl w:val="0"/>
          <w:numId w:val="4"/>
        </w:numPr>
        <w:rPr>
          <w:rFonts w:ascii="Arial" w:cs="Arial" w:eastAsia="Arial" w:hAnsi="Arial"/>
          <w:sz w:val="16"/>
          <w:szCs w:val="16"/>
          <w:b w:val="1"/>
          <w:bCs w:val="1"/>
          <w:color w:val="auto"/>
        </w:rPr>
      </w:pPr>
      <w:r>
        <w:rPr>
          <w:rFonts w:ascii="Arial" w:cs="Arial" w:eastAsia="Arial" w:hAnsi="Arial"/>
          <w:sz w:val="16"/>
          <w:szCs w:val="16"/>
          <w:color w:val="auto"/>
        </w:rPr>
        <w:t>2,278 customers contributing more than $100,000 in trailing 12 months revenue, up approximately 131% from the same quarter last fiscal year.</w:t>
      </w:r>
    </w:p>
    <w:p>
      <w:pPr>
        <w:spacing w:after="0" w:line="126" w:lineRule="exact"/>
        <w:rPr>
          <w:rFonts w:ascii="Arial" w:cs="Arial" w:eastAsia="Arial" w:hAnsi="Arial"/>
          <w:sz w:val="16"/>
          <w:szCs w:val="16"/>
          <w:b w:val="1"/>
          <w:bCs w:val="1"/>
          <w:color w:val="auto"/>
        </w:rPr>
      </w:pPr>
    </w:p>
    <w:p>
      <w:pPr>
        <w:ind w:left="920" w:hanging="296"/>
        <w:spacing w:after="0"/>
        <w:tabs>
          <w:tab w:leader="none" w:pos="920" w:val="left"/>
        </w:tabs>
        <w:numPr>
          <w:ilvl w:val="0"/>
          <w:numId w:val="4"/>
        </w:numPr>
        <w:rPr>
          <w:rFonts w:ascii="Arial" w:cs="Arial" w:eastAsia="Arial" w:hAnsi="Arial"/>
          <w:sz w:val="17"/>
          <w:szCs w:val="17"/>
          <w:color w:val="auto"/>
        </w:rPr>
      </w:pPr>
      <w:r>
        <w:rPr>
          <w:rFonts w:ascii="Arial" w:cs="Arial" w:eastAsia="Arial" w:hAnsi="Arial"/>
          <w:sz w:val="17"/>
          <w:szCs w:val="17"/>
          <w:color w:val="auto"/>
        </w:rPr>
        <w:t>Approximately 504,900 customers with more than 10 employees, up approximately 36% from the same quarter last fiscal year.</w:t>
      </w:r>
    </w:p>
    <w:p>
      <w:pPr>
        <w:sectPr>
          <w:pgSz w:w="11900" w:h="16838" w:orient="portrait"/>
          <w:cols w:equalWidth="0" w:num="1">
            <w:col w:w="11240"/>
          </w:cols>
          <w:pgMar w:left="320" w:top="1096" w:right="339" w:bottom="1440" w:gutter="0" w:footer="0" w:header="0"/>
        </w:sectPr>
      </w:pPr>
    </w:p>
    <w:bookmarkStart w:id="4" w:name="page5"/>
    <w:bookmarkEnd w:id="4"/>
    <w:p>
      <w:pPr>
        <w:ind w:left="920" w:hanging="296"/>
        <w:spacing w:after="0"/>
        <w:tabs>
          <w:tab w:leader="none" w:pos="920" w:val="left"/>
        </w:tabs>
        <w:numPr>
          <w:ilvl w:val="0"/>
          <w:numId w:val="5"/>
        </w:numPr>
        <w:rPr>
          <w:rFonts w:ascii="Arial" w:cs="Arial" w:eastAsia="Arial" w:hAnsi="Arial"/>
          <w:sz w:val="17"/>
          <w:szCs w:val="17"/>
          <w:b w:val="1"/>
          <w:bCs w:val="1"/>
          <w:color w:val="auto"/>
        </w:rPr>
      </w:pPr>
      <w:r>
        <w:rPr>
          <w:rFonts w:ascii="Arial" w:cs="Arial" w:eastAsia="Arial" w:hAnsi="Arial"/>
          <w:sz w:val="17"/>
          <w:szCs w:val="17"/>
          <w:color w:val="auto"/>
        </w:rPr>
        <w:t>A trailing 12-month net dollar expansion rate in customers with more than 10 employees above 130% for the 13th consecutive quarter.</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Financial Outlook: </w:t>
      </w:r>
      <w:r>
        <w:rPr>
          <w:rFonts w:ascii="Arial" w:cs="Arial" w:eastAsia="Arial" w:hAnsi="Arial"/>
          <w:sz w:val="17"/>
          <w:szCs w:val="17"/>
          <w:color w:val="auto"/>
        </w:rPr>
        <w:t>Zoom is providing the following guidance for its third quarter fiscal year 2022 and its full fiscal year 2022.</w:t>
      </w:r>
    </w:p>
    <w:p>
      <w:pPr>
        <w:spacing w:after="0" w:line="121" w:lineRule="exact"/>
        <w:rPr>
          <w:sz w:val="20"/>
          <w:szCs w:val="20"/>
          <w:color w:val="auto"/>
        </w:rPr>
      </w:pPr>
    </w:p>
    <w:p>
      <w:pPr>
        <w:ind w:left="940" w:right="40" w:hanging="316"/>
        <w:spacing w:after="0" w:line="268" w:lineRule="auto"/>
        <w:tabs>
          <w:tab w:leader="none" w:pos="936" w:val="left"/>
        </w:tabs>
        <w:numPr>
          <w:ilvl w:val="0"/>
          <w:numId w:val="6"/>
        </w:numPr>
        <w:rPr>
          <w:rFonts w:ascii="Arial" w:cs="Arial" w:eastAsia="Arial" w:hAnsi="Arial"/>
          <w:sz w:val="17"/>
          <w:szCs w:val="17"/>
          <w:b w:val="1"/>
          <w:bCs w:val="1"/>
          <w:color w:val="auto"/>
        </w:rPr>
      </w:pPr>
      <w:r>
        <w:rPr>
          <w:rFonts w:ascii="Arial" w:cs="Arial" w:eastAsia="Arial" w:hAnsi="Arial"/>
          <w:sz w:val="17"/>
          <w:szCs w:val="17"/>
          <w:color w:val="auto"/>
        </w:rPr>
        <w:t>Third Quarter Fiscal Year 2022: Total revenue is expected to be between $1.015 billion and $1.020 billion and non-GAAP income from operations is expected to be between $340.0 million and $345.0 million. Non-GAAP diluted EPS is expected to be between $1.07 and $1.08 with approximately 309 million non-GAAP weighted average shares outstanding.</w:t>
      </w:r>
    </w:p>
    <w:p>
      <w:pPr>
        <w:spacing w:after="0" w:line="68" w:lineRule="exact"/>
        <w:rPr>
          <w:rFonts w:ascii="Arial" w:cs="Arial" w:eastAsia="Arial" w:hAnsi="Arial"/>
          <w:sz w:val="17"/>
          <w:szCs w:val="17"/>
          <w:b w:val="1"/>
          <w:bCs w:val="1"/>
          <w:color w:val="auto"/>
        </w:rPr>
      </w:pPr>
    </w:p>
    <w:p>
      <w:pPr>
        <w:ind w:left="940" w:right="100" w:hanging="316"/>
        <w:spacing w:after="0" w:line="268" w:lineRule="auto"/>
        <w:tabs>
          <w:tab w:leader="none" w:pos="936" w:val="left"/>
        </w:tabs>
        <w:numPr>
          <w:ilvl w:val="0"/>
          <w:numId w:val="6"/>
        </w:numPr>
        <w:rPr>
          <w:rFonts w:ascii="Arial" w:cs="Arial" w:eastAsia="Arial" w:hAnsi="Arial"/>
          <w:sz w:val="17"/>
          <w:szCs w:val="17"/>
          <w:color w:val="auto"/>
        </w:rPr>
      </w:pPr>
      <w:r>
        <w:rPr>
          <w:rFonts w:ascii="Arial" w:cs="Arial" w:eastAsia="Arial" w:hAnsi="Arial"/>
          <w:sz w:val="17"/>
          <w:szCs w:val="17"/>
          <w:color w:val="auto"/>
        </w:rPr>
        <w:t>Full Fiscal Year 2022: Total revenue is expected to be between $4.005 billion and $4.015 billion. Non-GAAP income from operations is expected to be between $1.500 billion and $1.510 billion. Non-GAAP diluted EPS is expected to be between $4.75 and $4.79 with approximately 308 million non-GAAP weighted average shares outstanding.</w:t>
      </w:r>
    </w:p>
    <w:p>
      <w:pPr>
        <w:spacing w:after="0" w:line="172" w:lineRule="exact"/>
        <w:rPr>
          <w:sz w:val="20"/>
          <w:szCs w:val="20"/>
          <w:color w:val="auto"/>
        </w:rPr>
      </w:pPr>
    </w:p>
    <w:p>
      <w:pPr>
        <w:ind w:right="200"/>
        <w:spacing w:after="0" w:line="263" w:lineRule="auto"/>
        <w:rPr>
          <w:sz w:val="20"/>
          <w:szCs w:val="20"/>
          <w:color w:val="auto"/>
        </w:rPr>
      </w:pPr>
      <w:r>
        <w:rPr>
          <w:rFonts w:ascii="Arial" w:cs="Arial" w:eastAsia="Arial" w:hAnsi="Arial"/>
          <w:sz w:val="17"/>
          <w:szCs w:val="17"/>
          <w:color w:val="auto"/>
        </w:rPr>
        <w:t>Additional information on Zoom's reported results, including a reconciliation of the non-GAAP results to their most comparable GAAP measures, is included in the financial tables below. A reconciliation of non-GAAP guidance measures to corresponding GAAP measures is not available on a forward-looking basis without unreasonable effort due to the uncertainty of expenses that may be incurred in the future, although it is important to note that these factors could be material to Zoom's results computed in accordance with GAAP.</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A supplemental financial presentation and other information can be accessed through Zoom’s investor relations website at investors.zoom.us.</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Zoom Video Earnings Call</w:t>
      </w:r>
    </w:p>
    <w:p>
      <w:pPr>
        <w:spacing w:after="0" w:line="121" w:lineRule="exact"/>
        <w:rPr>
          <w:sz w:val="20"/>
          <w:szCs w:val="20"/>
          <w:color w:val="auto"/>
        </w:rPr>
      </w:pPr>
    </w:p>
    <w:p>
      <w:pPr>
        <w:ind w:right="280"/>
        <w:spacing w:after="0" w:line="283" w:lineRule="auto"/>
        <w:rPr>
          <w:sz w:val="20"/>
          <w:szCs w:val="20"/>
          <w:color w:val="auto"/>
        </w:rPr>
      </w:pPr>
      <w:r>
        <w:rPr>
          <w:rFonts w:ascii="Arial" w:cs="Arial" w:eastAsia="Arial" w:hAnsi="Arial"/>
          <w:sz w:val="17"/>
          <w:szCs w:val="17"/>
          <w:color w:val="auto"/>
        </w:rPr>
        <w:t>Zoom will host a Zoom Video Webinar for investors on August 30, 2021 at 2:00 p.m. Pacific Time / 5:00 p.m. Eastern Time to discuss the company’s financial results and business highlights. Investors are invited to join the Zoom Video Webinar by visiting: https://investors.zoom.us/</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About Zoom</w:t>
      </w:r>
    </w:p>
    <w:p>
      <w:pPr>
        <w:spacing w:after="0" w:line="121" w:lineRule="exact"/>
        <w:rPr>
          <w:sz w:val="20"/>
          <w:szCs w:val="20"/>
          <w:color w:val="auto"/>
        </w:rPr>
      </w:pPr>
    </w:p>
    <w:p>
      <w:pPr>
        <w:ind w:right="100"/>
        <w:spacing w:after="0" w:line="263" w:lineRule="auto"/>
        <w:rPr>
          <w:sz w:val="20"/>
          <w:szCs w:val="20"/>
          <w:color w:val="auto"/>
        </w:rPr>
      </w:pPr>
      <w:r>
        <w:rPr>
          <w:rFonts w:ascii="Arial" w:cs="Arial" w:eastAsia="Arial" w:hAnsi="Arial"/>
          <w:sz w:val="17"/>
          <w:szCs w:val="17"/>
          <w:color w:val="auto"/>
        </w:rPr>
        <w:t>Zoom is for you. We help you express ideas, connect to others, and build toward a future limited only by your imagination. Our frictionless communications platform is the only one that started with video as its foundation, and we have set the standard for innovation ever since. That is why we are an intuitive, scalable, and secure choice for large enterprises, small businesses, and individuals alike. Founded in 2011, Zoom is publicly traded (NASDAQ:ZM) and headquartered in San Jose, California. Visit zoom.com and follow @zoom.</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Forward-Looking Statements</w:t>
      </w:r>
    </w:p>
    <w:p>
      <w:pPr>
        <w:spacing w:after="0" w:line="30"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This press release contains express and implied “forward-looking statements” within the meaning of the Private Securities Litigation Reform Act of 1995, including statements regarding our financial outlook for the third quarter of fiscal year 2022 and full fiscal year 2022, Zoom’s growth strategy and business aspirations to support organizations and people on multiple fronts as they look to reimagine work, communications and collaboration. In some cases, you can identify forward-looking statements by terms such as “anticipate,” “believe,” “estimate,” “expect,” “intend,” “may,” “might,” “plan,” “project,” “will,” “would,” “should,” “could,” “can,” “predict,” “potential,” “target,” “explore,” “continue,” or the negative of these terms, and similar expressions intended to identify forward-looking statements. By their nature, these statements are subject to numerous uncertainties and risks, including factors beyond our control, that could cause actual results, performance or achievement to differ materially and adversely from those anticipated or implied in the statements, including: declines in new customers and hosts, renewals or upgrades, difficulties in evaluating our prospects and future results of operations given our limited operating history, competition from other providers of communications platforms, continued uncertainty regarding the extent and duration of the impact of COVID-19 and the responses of government and private industry thereto, including the potential effect on our user growth rate once the impact of the COVID-19 pandemic tapers, particularly as a vaccine becomes widely available, and users return to work or school or are otherwise no longer subject to shelter-in-place mandates, as well as the impact of COVID-19 on the overall economic environment, any or all of which will have an impact on demand for remote work solutions for businesses as well as overall distributed, face-to-face interactions and collaboration using Zoom, delays or outages in services from our co-located data centers, and failures in internet infrastructure or interference with broadband access which could cause current or potential users to believe that our systems are unreliable. Additional risks and uncertainties that could cause actual outcomes and results to differ materially from those contemplated by the forward-looking statements are included under the caption “Risk Factors” and elsewhere in our most recent filings with the Securities and Exchange Commission (the “SEC”), including our quarterly report on Form 10-Q for the fiscal quarter ended April 30, 2021. Forward-looking statements speak only as of the date the statements are made and are based on information available to Zoom at the time those statements</w:t>
      </w:r>
    </w:p>
    <w:p>
      <w:pPr>
        <w:sectPr>
          <w:pgSz w:w="11900" w:h="16838" w:orient="portrait"/>
          <w:cols w:equalWidth="0" w:num="1">
            <w:col w:w="11240"/>
          </w:cols>
          <w:pgMar w:left="320" w:top="967" w:right="339" w:bottom="1440" w:gutter="0" w:footer="0" w:header="0"/>
        </w:sectPr>
      </w:pPr>
    </w:p>
    <w:bookmarkStart w:id="5" w:name="page6"/>
    <w:bookmarkEnd w:id="5"/>
    <w:p>
      <w:pPr>
        <w:spacing w:after="0" w:line="267" w:lineRule="auto"/>
        <w:rPr>
          <w:sz w:val="20"/>
          <w:szCs w:val="20"/>
          <w:color w:val="auto"/>
        </w:rPr>
      </w:pPr>
      <w:r>
        <w:rPr>
          <w:rFonts w:ascii="Arial" w:cs="Arial" w:eastAsia="Arial" w:hAnsi="Arial"/>
          <w:sz w:val="17"/>
          <w:szCs w:val="17"/>
          <w:color w:val="auto"/>
        </w:rPr>
        <w:t>are made and/or management's good faith belief as of that time with respect to future events. Zoom assumes no obligation to update forward-looking statements to reflect events or circumstances after the date they were made, except as required by law.</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Non-GAAP Financial Measures</w:t>
      </w:r>
    </w:p>
    <w:p>
      <w:pPr>
        <w:spacing w:after="0" w:line="121"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Zoom has provided in this press release financial information that has not been prepared in accordance with generally accepted accounting principles in the United States (“GAAP”). Zoom uses these non-GAAP financial measures internally in analyzing its financial results and believes that use of these non-GAAP financial measures is useful to investors as an additional tool to evaluate ongoing operating results and trends and in comparing Zoom’s financial results with other companies in its industry, many of which present similar non-GAAP financial measures.</w:t>
      </w:r>
    </w:p>
    <w:p>
      <w:pPr>
        <w:spacing w:after="0" w:line="73" w:lineRule="exact"/>
        <w:rPr>
          <w:sz w:val="20"/>
          <w:szCs w:val="20"/>
          <w:color w:val="auto"/>
        </w:rPr>
      </w:pPr>
    </w:p>
    <w:p>
      <w:pPr>
        <w:ind w:right="120"/>
        <w:spacing w:after="0" w:line="263" w:lineRule="auto"/>
        <w:rPr>
          <w:sz w:val="20"/>
          <w:szCs w:val="20"/>
          <w:color w:val="auto"/>
        </w:rPr>
      </w:pPr>
      <w:r>
        <w:rPr>
          <w:rFonts w:ascii="Arial" w:cs="Arial" w:eastAsia="Arial" w:hAnsi="Arial"/>
          <w:sz w:val="17"/>
          <w:szCs w:val="17"/>
          <w:color w:val="auto"/>
        </w:rPr>
        <w:t>Non-GAAP financial measures are not meant to be considered in isolation or as a substitute for comparable GAAP financial measures and should be read only in conjunction with Zoom’s condensed consolidated financial statements prepared in accordance with GAAP. A reconciliation of Zoom’s historical non-GAAP financial measures to the most directly comparable GAAP measures has been provided in the financial statement tables included in this press release, and investors are encouraged to review the reconciliation.</w:t>
      </w:r>
    </w:p>
    <w:p>
      <w:pPr>
        <w:spacing w:after="0" w:line="73" w:lineRule="exact"/>
        <w:rPr>
          <w:sz w:val="20"/>
          <w:szCs w:val="20"/>
          <w:color w:val="auto"/>
        </w:rPr>
      </w:pPr>
    </w:p>
    <w:p>
      <w:pPr>
        <w:spacing w:after="0" w:line="293" w:lineRule="auto"/>
        <w:rPr>
          <w:sz w:val="20"/>
          <w:szCs w:val="20"/>
          <w:color w:val="auto"/>
        </w:rPr>
      </w:pPr>
      <w:r>
        <w:rPr>
          <w:rFonts w:ascii="Arial" w:cs="Arial" w:eastAsia="Arial" w:hAnsi="Arial"/>
          <w:sz w:val="15"/>
          <w:szCs w:val="15"/>
          <w:color w:val="auto"/>
        </w:rPr>
        <w:t>Non-GAAP Income From Operations and Non-GAAP Operating Margins. Zoom defines non-GAAP income from operations as income from operations excluding stock-based compensation expense and related payroll taxes, expenses related to charitable donation of common stock, acquisition-related expenses, and litigation settlements, net. Zoom excludes stock-based compensation expense and expenses related to charitable donation of common stock because they are non-cash in nature and excluding these expenses provides meaningful supplemental information regarding Zoom’s operational performance and allows investors the ability to make more meaningful comparisons between Zoom’s operating results and those of other companies. Zoom excludes the amount of employer payroll taxes related to employee stock plans, which is a cash expense, in order for investors to see the full effect that excluding stock-based compensation expense had on Zoom's operating results. In particular, this expense is dependent on the price of our common stock and other factors that are beyond our control and do not correlate to the operation of the business. Zoom views acquisition-related expenses when applicable, such as amortization of acquired intangible assets, transaction costs, and acquisition-related retention payments that are directly related to business combinations as events that are not necessarily reflective of operational performance during a period. Zoom excludes significant litigation settlements, net of amounts covered by insurance, that we deem not to be in the ordinary course of our business. In particular, Zoom believes the consideration of measures that exclude such expenses can assist in the comparison of operational performance in different periods which may or may not include such expenses and assist in the comparison with the results of other companies in the industry.</w:t>
      </w:r>
    </w:p>
    <w:p>
      <w:pPr>
        <w:spacing w:after="0" w:line="57"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Non-GAAP Net Income and Non-GAAP Net Income Per Share, Basic and Diluted. Zoom defines non-GAAP net income and non-GAAP net income per share, basic and diluted, as GAAP net income attributable to common stockholders and GAAP net income per share attributable to common stockholders, basic and diluted, respectively, adjusted to exclude stock-based compensation expense and related payroll taxes, expenses related to charitable donation of common stock, acquisition-related expenses, litigation settlements, net, gains on strategic investments, and undistributed earnings attributable to participating securities. Zoom excludes gains on strategic investments because given the size and volatility in the ongoing adjustments to the valuation of our strategic investments, we believe that excluding these gains or losses facilitates a more meaningful evaluation of our operational performance. Zoom excludes undistributed earnings attributable to participating securities because they are considered by management to be outside of Zoom’s core operating results, and excluding them provides investors and management with greater visibility to the underlying performance of Zoom’s business operations, facilitates comparison of its results with other periods and may also facilitate comparison with the results of other companies in the industry.</w:t>
      </w:r>
    </w:p>
    <w:p>
      <w:pPr>
        <w:spacing w:after="0" w:line="67" w:lineRule="exact"/>
        <w:rPr>
          <w:sz w:val="20"/>
          <w:szCs w:val="20"/>
          <w:color w:val="auto"/>
        </w:rPr>
      </w:pPr>
    </w:p>
    <w:p>
      <w:pPr>
        <w:ind w:right="100"/>
        <w:spacing w:after="0" w:line="309" w:lineRule="auto"/>
        <w:rPr>
          <w:sz w:val="20"/>
          <w:szCs w:val="20"/>
          <w:color w:val="auto"/>
        </w:rPr>
      </w:pPr>
      <w:r>
        <w:rPr>
          <w:rFonts w:ascii="Arial" w:cs="Arial" w:eastAsia="Arial" w:hAnsi="Arial"/>
          <w:sz w:val="15"/>
          <w:szCs w:val="15"/>
          <w:color w:val="auto"/>
        </w:rPr>
        <w:t>In order to calculate non-GAAP net income per share, basic and diluted, Zoom uses a non-GAAP weighted-average share count. Zoom defines non-GAAP weighted-average shares used to compute non-GAAP net income per share, basic and diluted, as GAAP weighted average shares used to compute net income per share attributable to common stockholders, basic and diluted, adjusted to reflect the common stock issued in connection with the IPO, including the concurrent private placement, that are outstanding as of the end of the period as if they were outstanding as of the beginning of the period for comparability.</w:t>
      </w:r>
    </w:p>
    <w:p>
      <w:pPr>
        <w:spacing w:after="0" w:line="42" w:lineRule="exact"/>
        <w:rPr>
          <w:sz w:val="20"/>
          <w:szCs w:val="20"/>
          <w:color w:val="auto"/>
        </w:rPr>
      </w:pPr>
    </w:p>
    <w:p>
      <w:pPr>
        <w:ind w:right="180"/>
        <w:spacing w:after="0" w:line="268" w:lineRule="auto"/>
        <w:rPr>
          <w:sz w:val="20"/>
          <w:szCs w:val="20"/>
          <w:color w:val="auto"/>
        </w:rPr>
      </w:pPr>
      <w:r>
        <w:rPr>
          <w:rFonts w:ascii="Arial" w:cs="Arial" w:eastAsia="Arial" w:hAnsi="Arial"/>
          <w:sz w:val="17"/>
          <w:szCs w:val="17"/>
          <w:color w:val="auto"/>
        </w:rPr>
        <w:t>Free Cash Flow. Zoom defines free cash flow as GAAP net cash provided by operating activities less purchases of property and equipment. Zoom considers free cash flow to be a liquidity measure that provides useful information to management and investors regarding net cash provided by operating activities and cash used for investments in property and equipment required to maintain and grow the business.</w:t>
      </w:r>
    </w:p>
    <w:p>
      <w:pPr>
        <w:sectPr>
          <w:pgSz w:w="11900" w:h="16838" w:orient="portrait"/>
          <w:cols w:equalWidth="0" w:num="1">
            <w:col w:w="11240"/>
          </w:cols>
          <w:pgMar w:left="320" w:top="864" w:right="339" w:bottom="1440" w:gutter="0" w:footer="0" w:header="0"/>
        </w:sectPr>
      </w:pPr>
    </w:p>
    <w:bookmarkStart w:id="6" w:name="page7"/>
    <w:bookmarkEnd w:id="6"/>
    <w:p>
      <w:pPr>
        <w:spacing w:after="0"/>
        <w:rPr>
          <w:sz w:val="20"/>
          <w:szCs w:val="20"/>
          <w:color w:val="auto"/>
        </w:rPr>
      </w:pPr>
      <w:r>
        <w:rPr>
          <w:rFonts w:ascii="Arial" w:cs="Arial" w:eastAsia="Arial" w:hAnsi="Arial"/>
          <w:sz w:val="17"/>
          <w:szCs w:val="17"/>
          <w:b w:val="1"/>
          <w:bCs w:val="1"/>
          <w:color w:val="auto"/>
        </w:rPr>
        <w:t>Customer Metrics</w:t>
      </w:r>
    </w:p>
    <w:p>
      <w:pPr>
        <w:spacing w:after="0" w:line="121" w:lineRule="exact"/>
        <w:rPr>
          <w:sz w:val="20"/>
          <w:szCs w:val="20"/>
          <w:color w:val="auto"/>
        </w:rPr>
      </w:pPr>
    </w:p>
    <w:p>
      <w:pPr>
        <w:ind w:right="240"/>
        <w:spacing w:after="0" w:line="283" w:lineRule="auto"/>
        <w:rPr>
          <w:sz w:val="20"/>
          <w:szCs w:val="20"/>
          <w:color w:val="auto"/>
        </w:rPr>
      </w:pPr>
      <w:r>
        <w:rPr>
          <w:rFonts w:ascii="Arial" w:cs="Arial" w:eastAsia="Arial" w:hAnsi="Arial"/>
          <w:sz w:val="17"/>
          <w:szCs w:val="17"/>
          <w:color w:val="auto"/>
        </w:rPr>
        <w:t>Zoom defines a customer as a separate and distinct buying entity, which can be a single paid host or an organization of any size (including a distinct unit of an organization) that has multiple paid hosts.</w:t>
      </w:r>
    </w:p>
    <w:p>
      <w:pPr>
        <w:spacing w:after="0" w:line="56"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Zoom calculates net dollar expansion rate as of a period end by starting with the annual recurring revenue (“ARR”) from all customers with more than 10 employees as of 12 months prior (“Prior Period ARR”). Zoom defines ARR as the annualized revenue run rate of subscription agreements from all customers at a point in time. We then calculate the ARR from these customers as of the current period end (“Current Period ARR”), which includes any upsells, contraction, and attrition. Zoom divides the Current Period ARR by the Prior Period ARR to arrive at the net dollar expansion rate. For the trailing 12 months calculation, Zoom takes an average of the net dollar expansion rate over the trailing 12 months.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Press Relations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Colleen Rodriguez</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Global Public Relations Lead for Zoom</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press@zoom.us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Investor Relations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Tom McCallum</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Head of Investor Relations for Zoom</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investors@zoom.us</w:t>
      </w:r>
    </w:p>
    <w:p>
      <w:pPr>
        <w:sectPr>
          <w:pgSz w:w="11900" w:h="16838" w:orient="portrait"/>
          <w:cols w:equalWidth="0" w:num="1">
            <w:col w:w="11140"/>
          </w:cols>
          <w:pgMar w:left="320" w:top="1064" w:right="439" w:bottom="1440" w:gutter="0" w:footer="0" w:header="0"/>
        </w:sectPr>
      </w:pPr>
    </w:p>
    <w:bookmarkStart w:id="7" w:name="page8"/>
    <w:bookmarkEnd w:id="7"/>
    <w:p>
      <w:pPr>
        <w:jc w:val="center"/>
        <w:spacing w:after="0"/>
        <w:rPr>
          <w:sz w:val="20"/>
          <w:szCs w:val="20"/>
          <w:color w:val="auto"/>
        </w:rPr>
      </w:pPr>
      <w:r>
        <w:rPr>
          <w:rFonts w:ascii="Arial" w:cs="Arial" w:eastAsia="Arial" w:hAnsi="Arial"/>
          <w:sz w:val="17"/>
          <w:szCs w:val="17"/>
          <w:b w:val="1"/>
          <w:bCs w:val="1"/>
          <w:color w:val="auto"/>
        </w:rPr>
        <w:t>Zoom Video Communications,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Balance Sheets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2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54"/>
              <w:spacing w:after="0"/>
              <w:rPr>
                <w:sz w:val="20"/>
                <w:szCs w:val="20"/>
                <w:color w:val="auto"/>
              </w:rPr>
            </w:pPr>
            <w:r>
              <w:rPr>
                <w:rFonts w:ascii="Arial" w:cs="Arial" w:eastAsia="Arial" w:hAnsi="Arial"/>
                <w:sz w:val="14"/>
                <w:szCs w:val="14"/>
                <w:b w:val="1"/>
                <w:bCs w:val="1"/>
                <w:color w:val="auto"/>
              </w:rPr>
              <w:t>As of</w:t>
            </w: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8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200"/>
              <w:spacing w:after="0" w:line="128" w:lineRule="exact"/>
              <w:rPr>
                <w:sz w:val="20"/>
                <w:szCs w:val="20"/>
                <w:color w:val="auto"/>
              </w:rPr>
            </w:pPr>
            <w:r>
              <w:rPr>
                <w:rFonts w:ascii="Arial" w:cs="Arial" w:eastAsia="Arial" w:hAnsi="Arial"/>
                <w:sz w:val="14"/>
                <w:szCs w:val="14"/>
                <w:b w:val="1"/>
                <w:bCs w:val="1"/>
                <w:color w:val="auto"/>
              </w:rPr>
              <w:t>July 31,</w:t>
            </w:r>
          </w:p>
        </w:tc>
        <w:tc>
          <w:tcPr>
            <w:tcW w:w="220" w:type="dxa"/>
            <w:vAlign w:val="bottom"/>
          </w:tcPr>
          <w:p>
            <w:pPr>
              <w:spacing w:after="0"/>
              <w:rPr>
                <w:sz w:val="11"/>
                <w:szCs w:val="11"/>
                <w:color w:val="auto"/>
              </w:rPr>
            </w:pPr>
          </w:p>
        </w:tc>
        <w:tc>
          <w:tcPr>
            <w:tcW w:w="1200" w:type="dxa"/>
            <w:vAlign w:val="bottom"/>
          </w:tcPr>
          <w:p>
            <w:pPr>
              <w:jc w:val="right"/>
              <w:ind w:right="275"/>
              <w:spacing w:after="0" w:line="128" w:lineRule="exact"/>
              <w:rPr>
                <w:sz w:val="20"/>
                <w:szCs w:val="20"/>
                <w:color w:val="auto"/>
              </w:rPr>
            </w:pPr>
            <w:r>
              <w:rPr>
                <w:rFonts w:ascii="Arial" w:cs="Arial" w:eastAsia="Arial" w:hAnsi="Arial"/>
                <w:sz w:val="14"/>
                <w:szCs w:val="14"/>
                <w:b w:val="1"/>
                <w:bCs w:val="1"/>
                <w:color w:val="auto"/>
              </w:rPr>
              <w:t>January 31,</w:t>
            </w:r>
          </w:p>
        </w:tc>
        <w:tc>
          <w:tcPr>
            <w:tcW w:w="0" w:type="dxa"/>
            <w:vAlign w:val="bottom"/>
          </w:tcPr>
          <w:p>
            <w:pPr>
              <w:spacing w:after="0"/>
              <w:rPr>
                <w:sz w:val="1"/>
                <w:szCs w:val="1"/>
                <w:color w:val="auto"/>
              </w:rPr>
            </w:pPr>
          </w:p>
        </w:tc>
      </w:tr>
      <w:tr>
        <w:trPr>
          <w:trHeight w:val="180"/>
        </w:trPr>
        <w:tc>
          <w:tcPr>
            <w:tcW w:w="82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1"/>
        </w:trPr>
        <w:tc>
          <w:tcPr>
            <w:tcW w:w="82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8280" w:type="dxa"/>
            <w:vAlign w:val="bottom"/>
          </w:tcPr>
          <w:p>
            <w:pPr>
              <w:ind w:left="20"/>
              <w:spacing w:after="0"/>
              <w:rPr>
                <w:sz w:val="20"/>
                <w:szCs w:val="20"/>
                <w:color w:val="auto"/>
              </w:rPr>
            </w:pPr>
            <w:r>
              <w:rPr>
                <w:rFonts w:ascii="Arial" w:cs="Arial" w:eastAsia="Arial" w:hAnsi="Arial"/>
                <w:sz w:val="17"/>
                <w:szCs w:val="17"/>
                <w:color w:val="auto"/>
              </w:rPr>
              <w:t>Current assets:</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2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Cash and cash equivalents</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1,931,370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2,240,303</w:t>
            </w:r>
          </w:p>
        </w:tc>
        <w:tc>
          <w:tcPr>
            <w:tcW w:w="0" w:type="dxa"/>
            <w:vAlign w:val="bottom"/>
          </w:tcPr>
          <w:p>
            <w:pPr>
              <w:spacing w:after="0"/>
              <w:rPr>
                <w:sz w:val="1"/>
                <w:szCs w:val="1"/>
                <w:color w:val="auto"/>
              </w:rPr>
            </w:pPr>
          </w:p>
        </w:tc>
      </w:tr>
      <w:tr>
        <w:trPr>
          <w:trHeight w:val="220"/>
        </w:trPr>
        <w:tc>
          <w:tcPr>
            <w:tcW w:w="8280" w:type="dxa"/>
            <w:vAlign w:val="bottom"/>
          </w:tcPr>
          <w:p>
            <w:pPr>
              <w:ind w:left="220"/>
              <w:spacing w:after="0"/>
              <w:rPr>
                <w:sz w:val="20"/>
                <w:szCs w:val="20"/>
                <w:color w:val="auto"/>
              </w:rPr>
            </w:pPr>
            <w:r>
              <w:rPr>
                <w:rFonts w:ascii="Arial" w:cs="Arial" w:eastAsia="Arial" w:hAnsi="Arial"/>
                <w:sz w:val="17"/>
                <w:szCs w:val="17"/>
                <w:color w:val="auto"/>
              </w:rPr>
              <w:t>Marketable securities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3,174,029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2,004,410</w:t>
            </w:r>
          </w:p>
        </w:tc>
        <w:tc>
          <w:tcPr>
            <w:tcW w:w="0" w:type="dxa"/>
            <w:vAlign w:val="bottom"/>
          </w:tcPr>
          <w:p>
            <w:pPr>
              <w:spacing w:after="0"/>
              <w:rPr>
                <w:sz w:val="1"/>
                <w:szCs w:val="1"/>
                <w:color w:val="auto"/>
              </w:rPr>
            </w:pPr>
          </w:p>
        </w:tc>
      </w:tr>
      <w:tr>
        <w:trPr>
          <w:trHeight w:val="220"/>
        </w:trPr>
        <w:tc>
          <w:tcPr>
            <w:tcW w:w="82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Accounts receivable, net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395,266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294,703</w:t>
            </w:r>
          </w:p>
        </w:tc>
        <w:tc>
          <w:tcPr>
            <w:tcW w:w="0" w:type="dxa"/>
            <w:vAlign w:val="bottom"/>
          </w:tcPr>
          <w:p>
            <w:pPr>
              <w:spacing w:after="0"/>
              <w:rPr>
                <w:sz w:val="1"/>
                <w:szCs w:val="1"/>
                <w:color w:val="auto"/>
              </w:rPr>
            </w:pPr>
          </w:p>
        </w:tc>
      </w:tr>
      <w:tr>
        <w:trPr>
          <w:trHeight w:val="220"/>
        </w:trPr>
        <w:tc>
          <w:tcPr>
            <w:tcW w:w="8280" w:type="dxa"/>
            <w:vAlign w:val="bottom"/>
          </w:tcPr>
          <w:p>
            <w:pPr>
              <w:ind w:left="220"/>
              <w:spacing w:after="0"/>
              <w:rPr>
                <w:sz w:val="20"/>
                <w:szCs w:val="20"/>
                <w:color w:val="auto"/>
              </w:rPr>
            </w:pPr>
            <w:r>
              <w:rPr>
                <w:rFonts w:ascii="Arial" w:cs="Arial" w:eastAsia="Arial" w:hAnsi="Arial"/>
                <w:sz w:val="17"/>
                <w:szCs w:val="17"/>
                <w:color w:val="auto"/>
              </w:rPr>
              <w:t>Deferred contract acquisition costs, current</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162,126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136,630</w:t>
            </w:r>
          </w:p>
        </w:tc>
        <w:tc>
          <w:tcPr>
            <w:tcW w:w="0" w:type="dxa"/>
            <w:vAlign w:val="bottom"/>
          </w:tcPr>
          <w:p>
            <w:pPr>
              <w:spacing w:after="0"/>
              <w:rPr>
                <w:sz w:val="1"/>
                <w:szCs w:val="1"/>
                <w:color w:val="auto"/>
              </w:rPr>
            </w:pPr>
          </w:p>
        </w:tc>
      </w:tr>
      <w:tr>
        <w:trPr>
          <w:trHeight w:val="220"/>
        </w:trPr>
        <w:tc>
          <w:tcPr>
            <w:tcW w:w="82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Prepaid expenses and other current assets</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172,288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116,819</w:t>
            </w:r>
          </w:p>
        </w:tc>
        <w:tc>
          <w:tcPr>
            <w:tcW w:w="0" w:type="dxa"/>
            <w:vAlign w:val="bottom"/>
          </w:tcPr>
          <w:p>
            <w:pPr>
              <w:spacing w:after="0"/>
              <w:rPr>
                <w:sz w:val="1"/>
                <w:szCs w:val="1"/>
                <w:color w:val="auto"/>
              </w:rPr>
            </w:pPr>
          </w:p>
        </w:tc>
      </w:tr>
      <w:tr>
        <w:trPr>
          <w:trHeight w:val="213"/>
        </w:trPr>
        <w:tc>
          <w:tcPr>
            <w:tcW w:w="8280" w:type="dxa"/>
            <w:vAlign w:val="bottom"/>
          </w:tcPr>
          <w:p>
            <w:pPr>
              <w:ind w:left="520"/>
              <w:spacing w:after="0"/>
              <w:rPr>
                <w:sz w:val="20"/>
                <w:szCs w:val="20"/>
                <w:color w:val="auto"/>
              </w:rPr>
            </w:pPr>
            <w:r>
              <w:rPr>
                <w:rFonts w:ascii="Arial" w:cs="Arial" w:eastAsia="Arial" w:hAnsi="Arial"/>
                <w:sz w:val="17"/>
                <w:szCs w:val="17"/>
                <w:color w:val="auto"/>
              </w:rPr>
              <w:t>Total current assets</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5,835,079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4,792,865</w:t>
            </w:r>
          </w:p>
        </w:tc>
        <w:tc>
          <w:tcPr>
            <w:tcW w:w="0" w:type="dxa"/>
            <w:vAlign w:val="bottom"/>
          </w:tcPr>
          <w:p>
            <w:pPr>
              <w:spacing w:after="0"/>
              <w:rPr>
                <w:sz w:val="1"/>
                <w:szCs w:val="1"/>
                <w:color w:val="auto"/>
              </w:rPr>
            </w:pPr>
          </w:p>
        </w:tc>
      </w:tr>
      <w:tr>
        <w:trPr>
          <w:trHeight w:val="220"/>
        </w:trPr>
        <w:tc>
          <w:tcPr>
            <w:tcW w:w="8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contract acquisition costs, noncurrent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154,971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157,262</w:t>
            </w:r>
          </w:p>
        </w:tc>
        <w:tc>
          <w:tcPr>
            <w:tcW w:w="0" w:type="dxa"/>
            <w:vAlign w:val="bottom"/>
          </w:tcPr>
          <w:p>
            <w:pPr>
              <w:spacing w:after="0"/>
              <w:rPr>
                <w:sz w:val="1"/>
                <w:szCs w:val="1"/>
                <w:color w:val="auto"/>
              </w:rPr>
            </w:pPr>
          </w:p>
        </w:tc>
      </w:tr>
      <w:tr>
        <w:trPr>
          <w:trHeight w:val="220"/>
        </w:trPr>
        <w:tc>
          <w:tcPr>
            <w:tcW w:w="8280" w:type="dxa"/>
            <w:vAlign w:val="bottom"/>
          </w:tcPr>
          <w:p>
            <w:pPr>
              <w:ind w:left="20"/>
              <w:spacing w:after="0"/>
              <w:rPr>
                <w:sz w:val="20"/>
                <w:szCs w:val="20"/>
                <w:color w:val="auto"/>
              </w:rPr>
            </w:pPr>
            <w:r>
              <w:rPr>
                <w:rFonts w:ascii="Arial" w:cs="Arial" w:eastAsia="Arial" w:hAnsi="Arial"/>
                <w:sz w:val="17"/>
                <w:szCs w:val="17"/>
                <w:color w:val="auto"/>
              </w:rPr>
              <w:t>Property and equipment, net</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193,852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149,924</w:t>
            </w:r>
          </w:p>
        </w:tc>
        <w:tc>
          <w:tcPr>
            <w:tcW w:w="0" w:type="dxa"/>
            <w:vAlign w:val="bottom"/>
          </w:tcPr>
          <w:p>
            <w:pPr>
              <w:spacing w:after="0"/>
              <w:rPr>
                <w:sz w:val="1"/>
                <w:szCs w:val="1"/>
                <w:color w:val="auto"/>
              </w:rPr>
            </w:pPr>
          </w:p>
        </w:tc>
      </w:tr>
      <w:tr>
        <w:trPr>
          <w:trHeight w:val="220"/>
        </w:trPr>
        <w:tc>
          <w:tcPr>
            <w:tcW w:w="8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right-of-use assets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91,087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97,649</w:t>
            </w:r>
          </w:p>
        </w:tc>
        <w:tc>
          <w:tcPr>
            <w:tcW w:w="0" w:type="dxa"/>
            <w:vAlign w:val="bottom"/>
          </w:tcPr>
          <w:p>
            <w:pPr>
              <w:spacing w:after="0"/>
              <w:rPr>
                <w:sz w:val="1"/>
                <w:szCs w:val="1"/>
                <w:color w:val="auto"/>
              </w:rPr>
            </w:pPr>
          </w:p>
        </w:tc>
      </w:tr>
      <w:tr>
        <w:trPr>
          <w:trHeight w:val="220"/>
        </w:trPr>
        <w:tc>
          <w:tcPr>
            <w:tcW w:w="8280" w:type="dxa"/>
            <w:vAlign w:val="bottom"/>
          </w:tcPr>
          <w:p>
            <w:pPr>
              <w:ind w:left="20"/>
              <w:spacing w:after="0"/>
              <w:rPr>
                <w:sz w:val="20"/>
                <w:szCs w:val="20"/>
                <w:color w:val="auto"/>
              </w:rPr>
            </w:pPr>
            <w:r>
              <w:rPr>
                <w:rFonts w:ascii="Arial" w:cs="Arial" w:eastAsia="Arial" w:hAnsi="Arial"/>
                <w:sz w:val="17"/>
                <w:szCs w:val="17"/>
                <w:color w:val="auto"/>
              </w:rPr>
              <w:t>Strategic investments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137,795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18,668</w:t>
            </w:r>
          </w:p>
        </w:tc>
        <w:tc>
          <w:tcPr>
            <w:tcW w:w="0" w:type="dxa"/>
            <w:vAlign w:val="bottom"/>
          </w:tcPr>
          <w:p>
            <w:pPr>
              <w:spacing w:after="0"/>
              <w:rPr>
                <w:sz w:val="1"/>
                <w:szCs w:val="1"/>
                <w:color w:val="auto"/>
              </w:rPr>
            </w:pPr>
          </w:p>
        </w:tc>
      </w:tr>
      <w:tr>
        <w:trPr>
          <w:trHeight w:val="220"/>
        </w:trPr>
        <w:tc>
          <w:tcPr>
            <w:tcW w:w="8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Goodwill</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26,247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24,340</w:t>
            </w:r>
          </w:p>
        </w:tc>
        <w:tc>
          <w:tcPr>
            <w:tcW w:w="0" w:type="dxa"/>
            <w:vAlign w:val="bottom"/>
          </w:tcPr>
          <w:p>
            <w:pPr>
              <w:spacing w:after="0"/>
              <w:rPr>
                <w:sz w:val="1"/>
                <w:szCs w:val="1"/>
                <w:color w:val="auto"/>
              </w:rPr>
            </w:pPr>
          </w:p>
        </w:tc>
      </w:tr>
      <w:tr>
        <w:trPr>
          <w:trHeight w:val="220"/>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assets, noncurrent</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69,562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57,285</w:t>
            </w:r>
          </w:p>
        </w:tc>
        <w:tc>
          <w:tcPr>
            <w:tcW w:w="0" w:type="dxa"/>
            <w:vAlign w:val="bottom"/>
          </w:tcPr>
          <w:p>
            <w:pPr>
              <w:spacing w:after="0"/>
              <w:rPr>
                <w:sz w:val="1"/>
                <w:szCs w:val="1"/>
                <w:color w:val="auto"/>
              </w:rPr>
            </w:pPr>
          </w:p>
        </w:tc>
      </w:tr>
      <w:tr>
        <w:trPr>
          <w:trHeight w:val="238"/>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assets</w:t>
            </w: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6,508,593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5,297,993</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b w:val="1"/>
                <w:bCs w:val="1"/>
                <w:color w:val="auto"/>
              </w:rPr>
              <w:t>Liabilities and stockholders’ equity</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82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8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Current liabilities: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280" w:type="dxa"/>
            <w:vAlign w:val="bottom"/>
          </w:tcPr>
          <w:p>
            <w:pPr>
              <w:ind w:left="220"/>
              <w:spacing w:after="0"/>
              <w:rPr>
                <w:sz w:val="20"/>
                <w:szCs w:val="20"/>
                <w:color w:val="auto"/>
              </w:rPr>
            </w:pPr>
            <w:r>
              <w:rPr>
                <w:rFonts w:ascii="Arial" w:cs="Arial" w:eastAsia="Arial" w:hAnsi="Arial"/>
                <w:sz w:val="17"/>
                <w:szCs w:val="17"/>
                <w:color w:val="auto"/>
              </w:rPr>
              <w:t>Accounts payable</w:t>
            </w: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49,762</w:t>
            </w:r>
          </w:p>
        </w:tc>
        <w:tc>
          <w:tcPr>
            <w:tcW w:w="12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8,664</w:t>
            </w:r>
          </w:p>
        </w:tc>
        <w:tc>
          <w:tcPr>
            <w:tcW w:w="0" w:type="dxa"/>
            <w:vAlign w:val="bottom"/>
          </w:tcPr>
          <w:p>
            <w:pPr>
              <w:spacing w:after="0"/>
              <w:rPr>
                <w:sz w:val="1"/>
                <w:szCs w:val="1"/>
                <w:color w:val="auto"/>
              </w:rPr>
            </w:pPr>
          </w:p>
        </w:tc>
      </w:tr>
      <w:tr>
        <w:trPr>
          <w:trHeight w:val="220"/>
        </w:trPr>
        <w:tc>
          <w:tcPr>
            <w:tcW w:w="82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Accrued expenses and other current liabilities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482,162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393,018</w:t>
            </w:r>
          </w:p>
        </w:tc>
        <w:tc>
          <w:tcPr>
            <w:tcW w:w="0" w:type="dxa"/>
            <w:vAlign w:val="bottom"/>
          </w:tcPr>
          <w:p>
            <w:pPr>
              <w:spacing w:after="0"/>
              <w:rPr>
                <w:sz w:val="1"/>
                <w:szCs w:val="1"/>
                <w:color w:val="auto"/>
              </w:rPr>
            </w:pPr>
          </w:p>
        </w:tc>
      </w:tr>
      <w:tr>
        <w:trPr>
          <w:trHeight w:val="220"/>
        </w:trPr>
        <w:tc>
          <w:tcPr>
            <w:tcW w:w="828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Deferred revenue, current</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1,154,449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858,284</w:t>
            </w:r>
          </w:p>
        </w:tc>
        <w:tc>
          <w:tcPr>
            <w:tcW w:w="0" w:type="dxa"/>
            <w:vAlign w:val="bottom"/>
          </w:tcPr>
          <w:p>
            <w:pPr>
              <w:spacing w:after="0"/>
              <w:rPr>
                <w:sz w:val="1"/>
                <w:szCs w:val="1"/>
                <w:color w:val="auto"/>
              </w:rPr>
            </w:pPr>
          </w:p>
        </w:tc>
      </w:tr>
      <w:tr>
        <w:trPr>
          <w:trHeight w:val="213"/>
        </w:trPr>
        <w:tc>
          <w:tcPr>
            <w:tcW w:w="8280" w:type="dxa"/>
            <w:vAlign w:val="bottom"/>
            <w:shd w:val="clear" w:color="auto" w:fill="CCEEFF"/>
          </w:tcPr>
          <w:p>
            <w:pPr>
              <w:ind w:left="520"/>
              <w:spacing w:after="0"/>
              <w:rPr>
                <w:sz w:val="20"/>
                <w:szCs w:val="20"/>
                <w:color w:val="auto"/>
              </w:rPr>
            </w:pPr>
            <w:r>
              <w:rPr>
                <w:rFonts w:ascii="Arial" w:cs="Arial" w:eastAsia="Arial" w:hAnsi="Arial"/>
                <w:sz w:val="17"/>
                <w:szCs w:val="17"/>
                <w:color w:val="auto"/>
              </w:rPr>
              <w:t>Total current liabilities</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1,686,373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1,259,966</w:t>
            </w:r>
          </w:p>
        </w:tc>
        <w:tc>
          <w:tcPr>
            <w:tcW w:w="0" w:type="dxa"/>
            <w:vAlign w:val="bottom"/>
          </w:tcPr>
          <w:p>
            <w:pPr>
              <w:spacing w:after="0"/>
              <w:rPr>
                <w:sz w:val="1"/>
                <w:szCs w:val="1"/>
                <w:color w:val="auto"/>
              </w:rPr>
            </w:pPr>
          </w:p>
        </w:tc>
      </w:tr>
      <w:tr>
        <w:trPr>
          <w:trHeight w:val="220"/>
        </w:trPr>
        <w:tc>
          <w:tcPr>
            <w:tcW w:w="8280" w:type="dxa"/>
            <w:vAlign w:val="bottom"/>
          </w:tcPr>
          <w:p>
            <w:pPr>
              <w:ind w:left="20"/>
              <w:spacing w:after="0"/>
              <w:rPr>
                <w:sz w:val="20"/>
                <w:szCs w:val="20"/>
                <w:color w:val="auto"/>
              </w:rPr>
            </w:pPr>
            <w:r>
              <w:rPr>
                <w:rFonts w:ascii="Arial" w:cs="Arial" w:eastAsia="Arial" w:hAnsi="Arial"/>
                <w:sz w:val="17"/>
                <w:szCs w:val="17"/>
                <w:color w:val="auto"/>
              </w:rPr>
              <w:t>Deferred revenue, noncurrent</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23,579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25,211</w:t>
            </w:r>
          </w:p>
        </w:tc>
        <w:tc>
          <w:tcPr>
            <w:tcW w:w="0" w:type="dxa"/>
            <w:vAlign w:val="bottom"/>
          </w:tcPr>
          <w:p>
            <w:pPr>
              <w:spacing w:after="0"/>
              <w:rPr>
                <w:sz w:val="1"/>
                <w:szCs w:val="1"/>
                <w:color w:val="auto"/>
              </w:rPr>
            </w:pPr>
          </w:p>
        </w:tc>
      </w:tr>
      <w:tr>
        <w:trPr>
          <w:trHeight w:val="220"/>
        </w:trPr>
        <w:tc>
          <w:tcPr>
            <w:tcW w:w="8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liabilities, noncurrent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83,009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90,415</w:t>
            </w:r>
          </w:p>
        </w:tc>
        <w:tc>
          <w:tcPr>
            <w:tcW w:w="0" w:type="dxa"/>
            <w:vAlign w:val="bottom"/>
          </w:tcPr>
          <w:p>
            <w:pPr>
              <w:spacing w:after="0"/>
              <w:rPr>
                <w:sz w:val="1"/>
                <w:szCs w:val="1"/>
                <w:color w:val="auto"/>
              </w:rPr>
            </w:pPr>
          </w:p>
        </w:tc>
      </w:tr>
      <w:tr>
        <w:trPr>
          <w:trHeight w:val="220"/>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liabilities, noncurrent</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57,884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61,634</w:t>
            </w:r>
          </w:p>
        </w:tc>
        <w:tc>
          <w:tcPr>
            <w:tcW w:w="0" w:type="dxa"/>
            <w:vAlign w:val="bottom"/>
          </w:tcPr>
          <w:p>
            <w:pPr>
              <w:spacing w:after="0"/>
              <w:rPr>
                <w:sz w:val="1"/>
                <w:szCs w:val="1"/>
                <w:color w:val="auto"/>
              </w:rPr>
            </w:pPr>
          </w:p>
        </w:tc>
      </w:tr>
      <w:tr>
        <w:trPr>
          <w:trHeight w:val="213"/>
        </w:trPr>
        <w:tc>
          <w:tcPr>
            <w:tcW w:w="8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liabilities</w:t>
            </w: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1,850,845</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1,437,226</w:t>
            </w:r>
          </w:p>
        </w:tc>
        <w:tc>
          <w:tcPr>
            <w:tcW w:w="0" w:type="dxa"/>
            <w:vAlign w:val="bottom"/>
          </w:tcPr>
          <w:p>
            <w:pPr>
              <w:spacing w:after="0"/>
              <w:rPr>
                <w:sz w:val="1"/>
                <w:szCs w:val="1"/>
                <w:color w:val="auto"/>
              </w:rPr>
            </w:pPr>
          </w:p>
        </w:tc>
      </w:tr>
      <w:tr>
        <w:trPr>
          <w:trHeight w:val="238"/>
        </w:trPr>
        <w:tc>
          <w:tcPr>
            <w:tcW w:w="8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8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Stockholders’ equity:</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280" w:type="dxa"/>
            <w:vAlign w:val="bottom"/>
          </w:tcPr>
          <w:p>
            <w:pPr>
              <w:ind w:left="220"/>
              <w:spacing w:after="0"/>
              <w:rPr>
                <w:sz w:val="20"/>
                <w:szCs w:val="20"/>
                <w:color w:val="auto"/>
              </w:rPr>
            </w:pPr>
            <w:r>
              <w:rPr>
                <w:rFonts w:ascii="Arial" w:cs="Arial" w:eastAsia="Arial" w:hAnsi="Arial"/>
                <w:sz w:val="17"/>
                <w:szCs w:val="17"/>
                <w:color w:val="auto"/>
              </w:rPr>
              <w:t>Preferred stock</w:t>
            </w:r>
          </w:p>
        </w:tc>
        <w:tc>
          <w:tcPr>
            <w:tcW w:w="2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82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Common stock</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292</w:t>
            </w:r>
          </w:p>
        </w:tc>
        <w:tc>
          <w:tcPr>
            <w:tcW w:w="0" w:type="dxa"/>
            <w:vAlign w:val="bottom"/>
          </w:tcPr>
          <w:p>
            <w:pPr>
              <w:spacing w:after="0"/>
              <w:rPr>
                <w:sz w:val="1"/>
                <w:szCs w:val="1"/>
                <w:color w:val="auto"/>
              </w:rPr>
            </w:pPr>
          </w:p>
        </w:tc>
      </w:tr>
      <w:tr>
        <w:trPr>
          <w:trHeight w:val="220"/>
        </w:trPr>
        <w:tc>
          <w:tcPr>
            <w:tcW w:w="8280" w:type="dxa"/>
            <w:vAlign w:val="bottom"/>
          </w:tcPr>
          <w:p>
            <w:pPr>
              <w:ind w:left="220"/>
              <w:spacing w:after="0"/>
              <w:rPr>
                <w:sz w:val="20"/>
                <w:szCs w:val="20"/>
                <w:color w:val="auto"/>
              </w:rPr>
            </w:pPr>
            <w:r>
              <w:rPr>
                <w:rFonts w:ascii="Arial" w:cs="Arial" w:eastAsia="Arial" w:hAnsi="Arial"/>
                <w:sz w:val="17"/>
                <w:szCs w:val="17"/>
                <w:color w:val="auto"/>
              </w:rPr>
              <w:t>Additional paid-in capital</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3,440,222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3,187,168</w:t>
            </w:r>
          </w:p>
        </w:tc>
        <w:tc>
          <w:tcPr>
            <w:tcW w:w="0" w:type="dxa"/>
            <w:vAlign w:val="bottom"/>
          </w:tcPr>
          <w:p>
            <w:pPr>
              <w:spacing w:after="0"/>
              <w:rPr>
                <w:sz w:val="1"/>
                <w:szCs w:val="1"/>
                <w:color w:val="auto"/>
              </w:rPr>
            </w:pPr>
          </w:p>
        </w:tc>
      </w:tr>
      <w:tr>
        <w:trPr>
          <w:trHeight w:val="220"/>
        </w:trPr>
        <w:tc>
          <w:tcPr>
            <w:tcW w:w="82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Accumulated other comprehensive income</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839</w:t>
            </w:r>
          </w:p>
        </w:tc>
        <w:tc>
          <w:tcPr>
            <w:tcW w:w="0" w:type="dxa"/>
            <w:vAlign w:val="bottom"/>
          </w:tcPr>
          <w:p>
            <w:pPr>
              <w:spacing w:after="0"/>
              <w:rPr>
                <w:sz w:val="1"/>
                <w:szCs w:val="1"/>
                <w:color w:val="auto"/>
              </w:rPr>
            </w:pPr>
          </w:p>
        </w:tc>
      </w:tr>
      <w:tr>
        <w:trPr>
          <w:trHeight w:val="220"/>
        </w:trPr>
        <w:tc>
          <w:tcPr>
            <w:tcW w:w="828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Retained earnings</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1,217,083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672,468</w:t>
            </w:r>
          </w:p>
        </w:tc>
        <w:tc>
          <w:tcPr>
            <w:tcW w:w="0" w:type="dxa"/>
            <w:vAlign w:val="bottom"/>
          </w:tcPr>
          <w:p>
            <w:pPr>
              <w:spacing w:after="0"/>
              <w:rPr>
                <w:sz w:val="1"/>
                <w:szCs w:val="1"/>
                <w:color w:val="auto"/>
              </w:rPr>
            </w:pPr>
          </w:p>
        </w:tc>
      </w:tr>
      <w:tr>
        <w:trPr>
          <w:trHeight w:val="213"/>
        </w:trPr>
        <w:tc>
          <w:tcPr>
            <w:tcW w:w="8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stockholders’ equity</w:t>
            </w: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4,657,748</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3,860,767</w:t>
            </w:r>
          </w:p>
        </w:tc>
        <w:tc>
          <w:tcPr>
            <w:tcW w:w="0" w:type="dxa"/>
            <w:vAlign w:val="bottom"/>
          </w:tcPr>
          <w:p>
            <w:pPr>
              <w:spacing w:after="0"/>
              <w:rPr>
                <w:sz w:val="1"/>
                <w:szCs w:val="1"/>
                <w:color w:val="auto"/>
              </w:rPr>
            </w:pPr>
          </w:p>
        </w:tc>
      </w:tr>
      <w:tr>
        <w:trPr>
          <w:trHeight w:val="213"/>
        </w:trPr>
        <w:tc>
          <w:tcPr>
            <w:tcW w:w="8280" w:type="dxa"/>
            <w:vAlign w:val="bottom"/>
          </w:tcPr>
          <w:p>
            <w:pPr>
              <w:ind w:left="20"/>
              <w:spacing w:after="0"/>
              <w:rPr>
                <w:sz w:val="20"/>
                <w:szCs w:val="20"/>
                <w:color w:val="auto"/>
              </w:rPr>
            </w:pPr>
            <w:r>
              <w:rPr>
                <w:rFonts w:ascii="Arial" w:cs="Arial" w:eastAsia="Arial" w:hAnsi="Arial"/>
                <w:sz w:val="17"/>
                <w:szCs w:val="17"/>
                <w:color w:val="auto"/>
              </w:rPr>
              <w:t>Total liabilities and stockholders’ equity</w:t>
            </w:r>
          </w:p>
        </w:tc>
        <w:tc>
          <w:tcPr>
            <w:tcW w:w="2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6,508,593</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5,297,993</w:t>
            </w:r>
          </w:p>
        </w:tc>
        <w:tc>
          <w:tcPr>
            <w:tcW w:w="0" w:type="dxa"/>
            <w:vAlign w:val="bottom"/>
          </w:tcPr>
          <w:p>
            <w:pPr>
              <w:spacing w:after="0"/>
              <w:rPr>
                <w:sz w:val="1"/>
                <w:szCs w:val="1"/>
                <w:color w:val="auto"/>
              </w:rPr>
            </w:pPr>
          </w:p>
        </w:tc>
      </w:tr>
      <w:tr>
        <w:trPr>
          <w:trHeight w:val="20"/>
        </w:trPr>
        <w:tc>
          <w:tcPr>
            <w:tcW w:w="8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220"/>
        <w:spacing w:after="0" w:line="283" w:lineRule="auto"/>
        <w:rPr>
          <w:sz w:val="20"/>
          <w:szCs w:val="20"/>
          <w:color w:val="auto"/>
        </w:rPr>
      </w:pPr>
      <w:r>
        <w:rPr>
          <w:rFonts w:ascii="Arial" w:cs="Arial" w:eastAsia="Arial" w:hAnsi="Arial"/>
          <w:sz w:val="17"/>
          <w:szCs w:val="17"/>
          <w:color w:val="auto"/>
        </w:rPr>
        <w:t>Note: The amount of unbilled accounts receivable included within accounts receivable, net on the condensed consolidated balance sheets was $35.4 million and $24.6 million as of July 31, 2021 and January 31, 2021, respectively.</w:t>
      </w:r>
    </w:p>
    <w:p>
      <w:pPr>
        <w:sectPr>
          <w:pgSz w:w="11900" w:h="16838" w:orient="portrait"/>
          <w:cols w:equalWidth="0" w:num="1">
            <w:col w:w="11240"/>
          </w:cols>
          <w:pgMar w:left="320" w:top="858"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7"/>
          <w:szCs w:val="17"/>
          <w:b w:val="1"/>
          <w:bCs w:val="1"/>
          <w:color w:val="auto"/>
        </w:rPr>
        <w:t>Zoom Video Communications,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Operations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in thousands, except share and per share amounts)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 July 31,</w:t>
            </w:r>
          </w:p>
        </w:tc>
        <w:tc>
          <w:tcPr>
            <w:tcW w:w="340" w:type="dxa"/>
            <w:vAlign w:val="bottom"/>
          </w:tcPr>
          <w:p>
            <w:pPr>
              <w:spacing w:after="0"/>
              <w:rPr>
                <w:sz w:val="16"/>
                <w:szCs w:val="16"/>
                <w:color w:val="auto"/>
              </w:rPr>
            </w:pPr>
          </w:p>
        </w:tc>
        <w:tc>
          <w:tcPr>
            <w:tcW w:w="2620" w:type="dxa"/>
            <w:vAlign w:val="bottom"/>
            <w:gridSpan w:val="4"/>
          </w:tcPr>
          <w:p>
            <w:pPr>
              <w:jc w:val="right"/>
              <w:ind w:right="615"/>
              <w:spacing w:after="0"/>
              <w:rPr>
                <w:sz w:val="20"/>
                <w:szCs w:val="20"/>
                <w:color w:val="auto"/>
              </w:rPr>
            </w:pPr>
            <w:r>
              <w:rPr>
                <w:rFonts w:ascii="Arial" w:cs="Arial" w:eastAsia="Arial" w:hAnsi="Arial"/>
                <w:sz w:val="14"/>
                <w:szCs w:val="14"/>
                <w:b w:val="1"/>
                <w:bCs w:val="1"/>
                <w:color w:val="auto"/>
              </w:rPr>
              <w:t>Six Months Ended July 31,</w:t>
            </w:r>
          </w:p>
        </w:tc>
      </w:tr>
      <w:tr>
        <w:trPr>
          <w:trHeight w:val="179"/>
        </w:trPr>
        <w:tc>
          <w:tcPr>
            <w:tcW w:w="5200" w:type="dxa"/>
            <w:vAlign w:val="bottom"/>
            <w:tcBorders>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r>
      <w:tr>
        <w:trPr>
          <w:trHeight w:val="214"/>
        </w:trPr>
        <w:tc>
          <w:tcPr>
            <w:tcW w:w="5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1,021,495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663,520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1,977,732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991,687</w:t>
            </w:r>
          </w:p>
        </w:tc>
      </w:tr>
      <w:tr>
        <w:trPr>
          <w:trHeight w:val="220"/>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Cost of revenue</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261,256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192,271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526,250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295,978</w:t>
            </w:r>
          </w:p>
        </w:tc>
      </w:tr>
      <w:tr>
        <w:trPr>
          <w:trHeight w:val="213"/>
        </w:trPr>
        <w:tc>
          <w:tcPr>
            <w:tcW w:w="5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profit</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760,239</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471,249</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1,451,482</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695,709</w:t>
            </w:r>
          </w:p>
        </w:tc>
      </w:tr>
      <w:tr>
        <w:trPr>
          <w:trHeight w:val="200"/>
        </w:trPr>
        <w:tc>
          <w:tcPr>
            <w:tcW w:w="5200" w:type="dxa"/>
            <w:vAlign w:val="bottom"/>
          </w:tcPr>
          <w:p>
            <w:pPr>
              <w:ind w:left="20"/>
              <w:spacing w:after="0"/>
              <w:rPr>
                <w:sz w:val="20"/>
                <w:szCs w:val="20"/>
                <w:color w:val="auto"/>
              </w:rPr>
            </w:pPr>
            <w:r>
              <w:rPr>
                <w:rFonts w:ascii="Arial" w:cs="Arial" w:eastAsia="Arial" w:hAnsi="Arial"/>
                <w:sz w:val="17"/>
                <w:szCs w:val="17"/>
                <w:color w:val="auto"/>
              </w:rPr>
              <w:t>Operating expenses:</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20"/>
        </w:trPr>
        <w:tc>
          <w:tcPr>
            <w:tcW w:w="52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Research and development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82,311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42,734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147,486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69,123</w:t>
            </w:r>
          </w:p>
        </w:tc>
      </w:tr>
      <w:tr>
        <w:trPr>
          <w:trHeight w:val="220"/>
        </w:trPr>
        <w:tc>
          <w:tcPr>
            <w:tcW w:w="5200" w:type="dxa"/>
            <w:vAlign w:val="bottom"/>
          </w:tcPr>
          <w:p>
            <w:pPr>
              <w:ind w:left="220"/>
              <w:spacing w:after="0"/>
              <w:rPr>
                <w:sz w:val="20"/>
                <w:szCs w:val="20"/>
                <w:color w:val="auto"/>
              </w:rPr>
            </w:pPr>
            <w:r>
              <w:rPr>
                <w:rFonts w:ascii="Arial" w:cs="Arial" w:eastAsia="Arial" w:hAnsi="Arial"/>
                <w:sz w:val="17"/>
                <w:szCs w:val="17"/>
                <w:color w:val="auto"/>
              </w:rPr>
              <w:t>Sales and marketing</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271,179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159,173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516,846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280,729</w:t>
            </w:r>
          </w:p>
        </w:tc>
      </w:tr>
      <w:tr>
        <w:trPr>
          <w:trHeight w:val="220"/>
        </w:trPr>
        <w:tc>
          <w:tcPr>
            <w:tcW w:w="52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General and administrative</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112,146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81,238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266,235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134,368</w:t>
            </w:r>
          </w:p>
        </w:tc>
      </w:tr>
      <w:tr>
        <w:trPr>
          <w:trHeight w:val="213"/>
        </w:trPr>
        <w:tc>
          <w:tcPr>
            <w:tcW w:w="5200" w:type="dxa"/>
            <w:vAlign w:val="bottom"/>
            <w:tcBorders>
              <w:bottom w:val="single" w:sz="8" w:color="CCEEFF"/>
            </w:tcBorders>
          </w:tcPr>
          <w:p>
            <w:pPr>
              <w:ind w:left="520"/>
              <w:spacing w:after="0"/>
              <w:rPr>
                <w:sz w:val="20"/>
                <w:szCs w:val="20"/>
                <w:color w:val="auto"/>
              </w:rPr>
            </w:pPr>
            <w:r>
              <w:rPr>
                <w:rFonts w:ascii="Arial" w:cs="Arial" w:eastAsia="Arial" w:hAnsi="Arial"/>
                <w:sz w:val="17"/>
                <w:szCs w:val="17"/>
                <w:color w:val="auto"/>
              </w:rPr>
              <w:t>Total operating expenses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465,636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283,145</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930,567</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484,220</w:t>
            </w:r>
          </w:p>
        </w:tc>
      </w:tr>
      <w:tr>
        <w:trPr>
          <w:trHeight w:val="213"/>
        </w:trPr>
        <w:tc>
          <w:tcPr>
            <w:tcW w:w="5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from operations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294,603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188,104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520,915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211,489</w:t>
            </w:r>
          </w:p>
        </w:tc>
      </w:tr>
      <w:tr>
        <w:trPr>
          <w:trHeight w:val="220"/>
        </w:trPr>
        <w:tc>
          <w:tcPr>
            <w:tcW w:w="5200" w:type="dxa"/>
            <w:vAlign w:val="bottom"/>
          </w:tcPr>
          <w:p>
            <w:pPr>
              <w:ind w:left="20"/>
              <w:spacing w:after="0"/>
              <w:rPr>
                <w:sz w:val="20"/>
                <w:szCs w:val="20"/>
                <w:color w:val="auto"/>
              </w:rPr>
            </w:pPr>
            <w:r>
              <w:rPr>
                <w:rFonts w:ascii="Arial" w:cs="Arial" w:eastAsia="Arial" w:hAnsi="Arial"/>
                <w:sz w:val="17"/>
                <w:szCs w:val="17"/>
                <w:color w:val="auto"/>
              </w:rPr>
              <w:t>Gains on strategic investments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32,076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32,076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2,538</w:t>
            </w:r>
          </w:p>
        </w:tc>
      </w:tr>
      <w:tr>
        <w:trPr>
          <w:trHeight w:val="220"/>
        </w:trPr>
        <w:tc>
          <w:tcPr>
            <w:tcW w:w="5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income and other, net</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(2,795)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2,081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5,333</w:t>
            </w:r>
          </w:p>
        </w:tc>
      </w:tr>
      <w:tr>
        <w:trPr>
          <w:trHeight w:val="213"/>
        </w:trPr>
        <w:tc>
          <w:tcPr>
            <w:tcW w:w="5200" w:type="dxa"/>
            <w:vAlign w:val="bottom"/>
          </w:tcPr>
          <w:p>
            <w:pPr>
              <w:ind w:left="20"/>
              <w:spacing w:after="0"/>
              <w:rPr>
                <w:sz w:val="20"/>
                <w:szCs w:val="20"/>
                <w:color w:val="auto"/>
              </w:rPr>
            </w:pPr>
            <w:r>
              <w:rPr>
                <w:rFonts w:ascii="Arial" w:cs="Arial" w:eastAsia="Arial" w:hAnsi="Arial"/>
                <w:sz w:val="17"/>
                <w:szCs w:val="17"/>
                <w:color w:val="auto"/>
              </w:rPr>
              <w:t>Income before provision for income taxes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323,884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190,185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552,815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219,360</w:t>
            </w:r>
          </w:p>
        </w:tc>
      </w:tr>
      <w:tr>
        <w:trPr>
          <w:trHeight w:val="220"/>
        </w:trPr>
        <w:tc>
          <w:tcPr>
            <w:tcW w:w="5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Provision for income taxes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6,800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4,196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8,200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6,296</w:t>
            </w:r>
          </w:p>
        </w:tc>
      </w:tr>
      <w:tr>
        <w:trPr>
          <w:trHeight w:val="213"/>
        </w:trPr>
        <w:tc>
          <w:tcPr>
            <w:tcW w:w="5200" w:type="dxa"/>
            <w:vAlign w:val="bottom"/>
          </w:tcPr>
          <w:p>
            <w:pPr>
              <w:ind w:left="20"/>
              <w:spacing w:after="0"/>
              <w:rPr>
                <w:sz w:val="20"/>
                <w:szCs w:val="20"/>
                <w:color w:val="auto"/>
              </w:rPr>
            </w:pPr>
            <w:r>
              <w:rPr>
                <w:rFonts w:ascii="Arial" w:cs="Arial" w:eastAsia="Arial" w:hAnsi="Arial"/>
                <w:sz w:val="17"/>
                <w:szCs w:val="17"/>
                <w:color w:val="auto"/>
              </w:rPr>
              <w:t>Net income</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317,084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185,989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544,615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213,064</w:t>
            </w:r>
          </w:p>
        </w:tc>
      </w:tr>
      <w:tr>
        <w:trPr>
          <w:trHeight w:val="220"/>
        </w:trPr>
        <w:tc>
          <w:tcPr>
            <w:tcW w:w="5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Undistributed earnings attributable to participating securities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(247)</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(305)</w:t>
            </w:r>
          </w:p>
        </w:tc>
      </w:tr>
      <w:tr>
        <w:trPr>
          <w:trHeight w:val="213"/>
        </w:trPr>
        <w:tc>
          <w:tcPr>
            <w:tcW w:w="5200" w:type="dxa"/>
            <w:vAlign w:val="bottom"/>
          </w:tcPr>
          <w:p>
            <w:pPr>
              <w:ind w:left="20"/>
              <w:spacing w:after="0"/>
              <w:rPr>
                <w:sz w:val="20"/>
                <w:szCs w:val="20"/>
                <w:color w:val="auto"/>
              </w:rPr>
            </w:pPr>
            <w:r>
              <w:rPr>
                <w:rFonts w:ascii="Arial" w:cs="Arial" w:eastAsia="Arial" w:hAnsi="Arial"/>
                <w:sz w:val="17"/>
                <w:szCs w:val="17"/>
                <w:color w:val="auto"/>
              </w:rPr>
              <w:t>Net income attributable to common stockholders</w:t>
            </w:r>
          </w:p>
        </w:tc>
        <w:tc>
          <w:tcPr>
            <w:tcW w:w="34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316,930</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185,742</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544,306</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212,759</w:t>
            </w: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24"/>
        </w:trPr>
        <w:tc>
          <w:tcPr>
            <w:tcW w:w="5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0"/>
        </w:trPr>
        <w:tc>
          <w:tcPr>
            <w:tcW w:w="5200" w:type="dxa"/>
            <w:vAlign w:val="bottom"/>
          </w:tcPr>
          <w:p>
            <w:pPr>
              <w:ind w:left="20"/>
              <w:spacing w:after="0"/>
              <w:rPr>
                <w:sz w:val="20"/>
                <w:szCs w:val="20"/>
                <w:color w:val="auto"/>
              </w:rPr>
            </w:pPr>
            <w:r>
              <w:rPr>
                <w:rFonts w:ascii="Arial" w:cs="Arial" w:eastAsia="Arial" w:hAnsi="Arial"/>
                <w:sz w:val="17"/>
                <w:szCs w:val="17"/>
                <w:color w:val="auto"/>
              </w:rPr>
              <w:t>Net income per share attributable to common stockholders: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45"/>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Basic</w:t>
            </w: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0.66</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1.85</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0.76</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5200" w:type="dxa"/>
            <w:vAlign w:val="bottom"/>
          </w:tcPr>
          <w:p>
            <w:pPr>
              <w:ind w:left="20"/>
              <w:spacing w:after="0" w:line="191" w:lineRule="exact"/>
              <w:rPr>
                <w:sz w:val="20"/>
                <w:szCs w:val="20"/>
                <w:color w:val="auto"/>
              </w:rPr>
            </w:pPr>
            <w:r>
              <w:rPr>
                <w:rFonts w:ascii="Arial" w:cs="Arial" w:eastAsia="Arial" w:hAnsi="Arial"/>
                <w:sz w:val="17"/>
                <w:szCs w:val="17"/>
                <w:color w:val="auto"/>
              </w:rPr>
              <w:t>Diluted</w:t>
            </w:r>
          </w:p>
        </w:tc>
        <w:tc>
          <w:tcPr>
            <w:tcW w:w="340" w:type="dxa"/>
            <w:vAlign w:val="bottom"/>
            <w:tcBorders>
              <w:bottom w:val="single" w:sz="8" w:color="auto"/>
            </w:tcBorders>
          </w:tcPr>
          <w:p>
            <w:pPr>
              <w:jc w:val="right"/>
              <w:ind w:right="154"/>
              <w:spacing w:after="0" w:line="191" w:lineRule="exact"/>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color w:val="auto"/>
              </w:rPr>
              <w:t>1.04</w:t>
            </w: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154"/>
              <w:spacing w:after="0" w:line="191" w:lineRule="exact"/>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color w:val="auto"/>
              </w:rPr>
              <w:t>0.63</w:t>
            </w:r>
          </w:p>
        </w:tc>
        <w:tc>
          <w:tcPr>
            <w:tcW w:w="120" w:type="dxa"/>
            <w:vAlign w:val="bottom"/>
          </w:tcPr>
          <w:p>
            <w:pPr>
              <w:spacing w:after="0"/>
              <w:rPr>
                <w:sz w:val="16"/>
                <w:szCs w:val="16"/>
                <w:color w:val="auto"/>
              </w:rPr>
            </w:pPr>
          </w:p>
        </w:tc>
        <w:tc>
          <w:tcPr>
            <w:tcW w:w="340" w:type="dxa"/>
            <w:vAlign w:val="bottom"/>
            <w:tcBorders>
              <w:bottom w:val="single" w:sz="8" w:color="auto"/>
            </w:tcBorders>
          </w:tcPr>
          <w:p>
            <w:pPr>
              <w:jc w:val="right"/>
              <w:ind w:right="154"/>
              <w:spacing w:after="0" w:line="191" w:lineRule="exact"/>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color w:val="auto"/>
              </w:rPr>
              <w:t>1.78</w:t>
            </w:r>
          </w:p>
        </w:tc>
        <w:tc>
          <w:tcPr>
            <w:tcW w:w="120" w:type="dxa"/>
            <w:vAlign w:val="bottom"/>
          </w:tcPr>
          <w:p>
            <w:pPr>
              <w:spacing w:after="0"/>
              <w:rPr>
                <w:sz w:val="16"/>
                <w:szCs w:val="16"/>
                <w:color w:val="auto"/>
              </w:rPr>
            </w:pPr>
          </w:p>
        </w:tc>
        <w:tc>
          <w:tcPr>
            <w:tcW w:w="340" w:type="dxa"/>
            <w:vAlign w:val="bottom"/>
            <w:tcBorders>
              <w:bottom w:val="single" w:sz="8" w:color="auto"/>
            </w:tcBorders>
          </w:tcPr>
          <w:p>
            <w:pPr>
              <w:jc w:val="right"/>
              <w:ind w:right="154"/>
              <w:spacing w:after="0" w:line="191" w:lineRule="exact"/>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color w:val="auto"/>
              </w:rPr>
              <w:t>0.72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8255</wp:posOffset>
            </wp:positionV>
            <wp:extent cx="7138035" cy="2463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8035" cy="24638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p>
      <w:pPr>
        <w:spacing w:after="0" w:line="13" w:lineRule="exact"/>
        <w:rPr>
          <w:sz w:val="20"/>
          <w:szCs w:val="20"/>
          <w:color w:val="auto"/>
        </w:rPr>
      </w:pPr>
    </w:p>
    <w:p>
      <w:pPr>
        <w:ind w:left="20" w:right="440"/>
        <w:spacing w:after="0" w:line="237" w:lineRule="auto"/>
        <w:rPr>
          <w:sz w:val="20"/>
          <w:szCs w:val="20"/>
          <w:color w:val="auto"/>
        </w:rPr>
      </w:pPr>
      <w:r>
        <w:rPr>
          <w:rFonts w:ascii="Arial" w:cs="Arial" w:eastAsia="Arial" w:hAnsi="Arial"/>
          <w:sz w:val="17"/>
          <w:szCs w:val="17"/>
          <w:color w:val="auto"/>
        </w:rPr>
        <w:t>Weighted-average shares used in computing net income per share attributable to common stockholders:</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7"/>
          <w:szCs w:val="17"/>
          <w:color w:val="auto"/>
        </w:rPr>
        <w:t>Basic</w:t>
      </w:r>
    </w:p>
    <w:p>
      <w:pPr>
        <w:spacing w:after="0" w:line="76" w:lineRule="exact"/>
        <w:rPr>
          <w:sz w:val="20"/>
          <w:szCs w:val="20"/>
          <w:color w:val="auto"/>
        </w:rPr>
      </w:pPr>
    </w:p>
    <w:p>
      <w:pPr>
        <w:ind w:left="20"/>
        <w:spacing w:after="0"/>
        <w:rPr>
          <w:sz w:val="20"/>
          <w:szCs w:val="20"/>
          <w:color w:val="auto"/>
        </w:rPr>
      </w:pPr>
      <w:r>
        <w:rPr>
          <w:rFonts w:ascii="Arial" w:cs="Arial" w:eastAsia="Arial" w:hAnsi="Arial"/>
          <w:sz w:val="17"/>
          <w:szCs w:val="17"/>
          <w:color w:val="auto"/>
        </w:rPr>
        <w:t>Diluted</w:t>
      </w:r>
    </w:p>
    <w:p>
      <w:pPr>
        <w:spacing w:after="0" w:line="20" w:lineRule="exact"/>
        <w:rPr>
          <w:sz w:val="20"/>
          <w:szCs w:val="20"/>
          <w:color w:val="auto"/>
        </w:rPr>
      </w:pPr>
      <w:r>
        <w:rPr>
          <w:sz w:val="20"/>
          <w:szCs w:val="20"/>
          <w:color w:val="auto"/>
        </w:rPr>
        <w:br w:type="column"/>
      </w:r>
    </w:p>
    <w:p>
      <w:pPr>
        <w:spacing w:after="0" w:line="381" w:lineRule="exact"/>
        <w:rPr>
          <w:sz w:val="20"/>
          <w:szCs w:val="20"/>
          <w:color w:val="auto"/>
        </w:rPr>
      </w:pPr>
    </w:p>
    <w:p>
      <w:pPr>
        <w:spacing w:after="0"/>
        <w:tabs>
          <w:tab w:leader="none" w:pos="1520" w:val="left"/>
          <w:tab w:leader="none" w:pos="3060" w:val="left"/>
          <w:tab w:leader="none" w:pos="4600" w:val="left"/>
        </w:tabs>
        <w:rPr>
          <w:sz w:val="20"/>
          <w:szCs w:val="20"/>
          <w:color w:val="auto"/>
        </w:rPr>
      </w:pPr>
      <w:r>
        <w:rPr>
          <w:rFonts w:ascii="Arial" w:cs="Arial" w:eastAsia="Arial" w:hAnsi="Arial"/>
          <w:sz w:val="17"/>
          <w:szCs w:val="17"/>
          <w:color w:val="auto"/>
        </w:rPr>
        <w:t>295,712,675</w:t>
      </w:r>
      <w:r>
        <w:rPr>
          <w:sz w:val="20"/>
          <w:szCs w:val="20"/>
          <w:color w:val="auto"/>
        </w:rPr>
        <w:tab/>
      </w:r>
      <w:r>
        <w:rPr>
          <w:rFonts w:ascii="Arial" w:cs="Arial" w:eastAsia="Arial" w:hAnsi="Arial"/>
          <w:sz w:val="17"/>
          <w:szCs w:val="17"/>
          <w:color w:val="auto"/>
        </w:rPr>
        <w:t>282,850,805</w:t>
      </w:r>
      <w:r>
        <w:rPr>
          <w:sz w:val="20"/>
          <w:szCs w:val="20"/>
          <w:color w:val="auto"/>
        </w:rPr>
        <w:tab/>
      </w:r>
      <w:r>
        <w:rPr>
          <w:rFonts w:ascii="Arial" w:cs="Arial" w:eastAsia="Arial" w:hAnsi="Arial"/>
          <w:sz w:val="17"/>
          <w:szCs w:val="17"/>
          <w:color w:val="auto"/>
        </w:rPr>
        <w:t>294,769,619</w:t>
      </w:r>
      <w:r>
        <w:rPr>
          <w:sz w:val="20"/>
          <w:szCs w:val="20"/>
          <w:color w:val="auto"/>
        </w:rPr>
        <w:tab/>
      </w:r>
      <w:r>
        <w:rPr>
          <w:rFonts w:ascii="Arial" w:cs="Arial" w:eastAsia="Arial" w:hAnsi="Arial"/>
          <w:sz w:val="15"/>
          <w:szCs w:val="15"/>
          <w:color w:val="auto"/>
        </w:rPr>
        <w:t>281,394,901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-3616960</wp:posOffset>
            </wp:positionH>
            <wp:positionV relativeFrom="paragraph">
              <wp:posOffset>15240</wp:posOffset>
            </wp:positionV>
            <wp:extent cx="7138035" cy="1885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8035" cy="188595"/>
                    </a:xfrm>
                    <a:prstGeom prst="rect">
                      <a:avLst/>
                    </a:prstGeom>
                    <a:noFill/>
                  </pic:spPr>
                </pic:pic>
              </a:graphicData>
            </a:graphic>
          </wp:anchor>
        </w:drawing>
      </w:r>
    </w:p>
    <w:p>
      <w:pPr>
        <w:spacing w:after="0" w:line="56" w:lineRule="exact"/>
        <w:rPr>
          <w:sz w:val="20"/>
          <w:szCs w:val="20"/>
          <w:color w:val="auto"/>
        </w:rPr>
      </w:pPr>
    </w:p>
    <w:p>
      <w:pPr>
        <w:spacing w:after="0"/>
        <w:tabs>
          <w:tab w:leader="none" w:pos="1520" w:val="left"/>
          <w:tab w:leader="none" w:pos="3060" w:val="left"/>
          <w:tab w:leader="none" w:pos="4600" w:val="left"/>
        </w:tabs>
        <w:rPr>
          <w:sz w:val="20"/>
          <w:szCs w:val="20"/>
          <w:color w:val="auto"/>
        </w:rPr>
      </w:pPr>
      <w:r>
        <w:rPr>
          <w:rFonts w:ascii="Arial" w:cs="Arial" w:eastAsia="Arial" w:hAnsi="Arial"/>
          <w:sz w:val="17"/>
          <w:szCs w:val="17"/>
          <w:color w:val="auto"/>
        </w:rPr>
        <w:t>305,861,051</w:t>
      </w:r>
      <w:r>
        <w:rPr>
          <w:sz w:val="20"/>
          <w:szCs w:val="20"/>
          <w:color w:val="auto"/>
        </w:rPr>
        <w:tab/>
      </w:r>
      <w:r>
        <w:rPr>
          <w:rFonts w:ascii="Arial" w:cs="Arial" w:eastAsia="Arial" w:hAnsi="Arial"/>
          <w:sz w:val="17"/>
          <w:szCs w:val="17"/>
          <w:color w:val="auto"/>
        </w:rPr>
        <w:t>297,162,309</w:t>
      </w:r>
      <w:r>
        <w:rPr>
          <w:sz w:val="20"/>
          <w:szCs w:val="20"/>
          <w:color w:val="auto"/>
        </w:rPr>
        <w:tab/>
      </w:r>
      <w:r>
        <w:rPr>
          <w:rFonts w:ascii="Arial" w:cs="Arial" w:eastAsia="Arial" w:hAnsi="Arial"/>
          <w:sz w:val="17"/>
          <w:szCs w:val="17"/>
          <w:color w:val="auto"/>
        </w:rPr>
        <w:t>305,652,628</w:t>
      </w:r>
      <w:r>
        <w:rPr>
          <w:sz w:val="20"/>
          <w:szCs w:val="20"/>
          <w:color w:val="auto"/>
        </w:rPr>
        <w:tab/>
      </w:r>
      <w:r>
        <w:rPr>
          <w:rFonts w:ascii="Arial" w:cs="Arial" w:eastAsia="Arial" w:hAnsi="Arial"/>
          <w:sz w:val="15"/>
          <w:szCs w:val="15"/>
          <w:color w:val="auto"/>
        </w:rPr>
        <w:t>296,408,229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-318135</wp:posOffset>
            </wp:positionH>
            <wp:positionV relativeFrom="paragraph">
              <wp:posOffset>39370</wp:posOffset>
            </wp:positionV>
            <wp:extent cx="383984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839845" cy="8255"/>
                    </a:xfrm>
                    <a:prstGeom prst="rect">
                      <a:avLst/>
                    </a:prstGeom>
                    <a:noFill/>
                  </pic:spPr>
                </pic:pic>
              </a:graphicData>
            </a:graphic>
          </wp:anchor>
        </w:drawing>
      </w:r>
    </w:p>
    <w:p>
      <w:pPr>
        <w:sectPr>
          <w:pgSz w:w="11900" w:h="16838" w:orient="portrait"/>
          <w:cols w:equalWidth="0" w:num="2">
            <w:col w:w="4980" w:space="720"/>
            <w:col w:w="5540"/>
          </w:cols>
          <w:pgMar w:left="320" w:top="858" w:right="33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7"/>
          <w:szCs w:val="17"/>
          <w:b w:val="1"/>
          <w:bCs w:val="1"/>
          <w:color w:val="auto"/>
        </w:rPr>
        <w:t>Zoom Video Communications,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Cash Flows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8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 July 31,</w:t>
            </w:r>
          </w:p>
        </w:tc>
        <w:tc>
          <w:tcPr>
            <w:tcW w:w="340" w:type="dxa"/>
            <w:vAlign w:val="bottom"/>
          </w:tcPr>
          <w:p>
            <w:pPr>
              <w:spacing w:after="0"/>
              <w:rPr>
                <w:sz w:val="16"/>
                <w:szCs w:val="16"/>
                <w:color w:val="auto"/>
              </w:rPr>
            </w:pPr>
          </w:p>
        </w:tc>
        <w:tc>
          <w:tcPr>
            <w:tcW w:w="2680" w:type="dxa"/>
            <w:vAlign w:val="bottom"/>
            <w:gridSpan w:val="4"/>
          </w:tcPr>
          <w:p>
            <w:pPr>
              <w:jc w:val="right"/>
              <w:ind w:right="643"/>
              <w:spacing w:after="0"/>
              <w:rPr>
                <w:sz w:val="20"/>
                <w:szCs w:val="20"/>
                <w:color w:val="auto"/>
              </w:rPr>
            </w:pPr>
            <w:r>
              <w:rPr>
                <w:rFonts w:ascii="Arial" w:cs="Arial" w:eastAsia="Arial" w:hAnsi="Arial"/>
                <w:sz w:val="14"/>
                <w:szCs w:val="14"/>
                <w:b w:val="1"/>
                <w:bCs w:val="1"/>
                <w:color w:val="auto"/>
              </w:rPr>
              <w:t>Six Months Ended July 31,</w:t>
            </w:r>
          </w:p>
        </w:tc>
        <w:tc>
          <w:tcPr>
            <w:tcW w:w="0" w:type="dxa"/>
            <w:vAlign w:val="bottom"/>
          </w:tcPr>
          <w:p>
            <w:pPr>
              <w:spacing w:after="0"/>
              <w:rPr>
                <w:sz w:val="1"/>
                <w:szCs w:val="1"/>
                <w:color w:val="auto"/>
              </w:rPr>
            </w:pPr>
          </w:p>
        </w:tc>
      </w:tr>
      <w:tr>
        <w:trPr>
          <w:trHeight w:val="179"/>
        </w:trPr>
        <w:tc>
          <w:tcPr>
            <w:tcW w:w="5100" w:type="dxa"/>
            <w:vAlign w:val="bottom"/>
            <w:tcBorders>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52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52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52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8"/>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51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ind w:right="3"/>
              <w:spacing w:after="0"/>
              <w:rPr>
                <w:sz w:val="20"/>
                <w:szCs w:val="20"/>
                <w:color w:val="auto"/>
              </w:rPr>
            </w:pPr>
            <w:r>
              <w:rPr>
                <w:rFonts w:ascii="Arial" w:cs="Arial" w:eastAsia="Arial" w:hAnsi="Arial"/>
                <w:sz w:val="16"/>
                <w:szCs w:val="16"/>
                <w:color w:val="auto"/>
              </w:rPr>
              <w:t>317,084</w:t>
            </w:r>
          </w:p>
        </w:tc>
        <w:tc>
          <w:tcPr>
            <w:tcW w:w="100" w:type="dxa"/>
            <w:vAlign w:val="bottom"/>
          </w:tcPr>
          <w:p>
            <w:pPr>
              <w:spacing w:after="0"/>
              <w:rPr>
                <w:sz w:val="17"/>
                <w:szCs w:val="17"/>
                <w:color w:val="auto"/>
              </w:rPr>
            </w:pPr>
          </w:p>
        </w:tc>
        <w:tc>
          <w:tcPr>
            <w:tcW w:w="340" w:type="dxa"/>
            <w:vAlign w:val="bottom"/>
          </w:tcPr>
          <w:p>
            <w:pPr>
              <w:jc w:val="right"/>
              <w:ind w:right="162"/>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185,989</w:t>
            </w:r>
          </w:p>
        </w:tc>
        <w:tc>
          <w:tcPr>
            <w:tcW w:w="100" w:type="dxa"/>
            <w:vAlign w:val="bottom"/>
          </w:tcPr>
          <w:p>
            <w:pPr>
              <w:spacing w:after="0"/>
              <w:rPr>
                <w:sz w:val="17"/>
                <w:szCs w:val="17"/>
                <w:color w:val="auto"/>
              </w:rPr>
            </w:pPr>
          </w:p>
        </w:tc>
        <w:tc>
          <w:tcPr>
            <w:tcW w:w="340" w:type="dxa"/>
            <w:vAlign w:val="bottom"/>
          </w:tcPr>
          <w:p>
            <w:pPr>
              <w:jc w:val="right"/>
              <w:ind w:right="162"/>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544,615</w:t>
            </w:r>
          </w:p>
        </w:tc>
        <w:tc>
          <w:tcPr>
            <w:tcW w:w="100" w:type="dxa"/>
            <w:vAlign w:val="bottom"/>
          </w:tcPr>
          <w:p>
            <w:pPr>
              <w:spacing w:after="0"/>
              <w:rPr>
                <w:sz w:val="17"/>
                <w:szCs w:val="17"/>
                <w:color w:val="auto"/>
              </w:rPr>
            </w:pPr>
          </w:p>
        </w:tc>
        <w:tc>
          <w:tcPr>
            <w:tcW w:w="340" w:type="dxa"/>
            <w:vAlign w:val="bottom"/>
          </w:tcPr>
          <w:p>
            <w:pPr>
              <w:jc w:val="right"/>
              <w:ind w:right="162"/>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213,064</w:t>
            </w:r>
          </w:p>
        </w:tc>
        <w:tc>
          <w:tcPr>
            <w:tcW w:w="0" w:type="dxa"/>
            <w:vAlign w:val="bottom"/>
          </w:tcPr>
          <w:p>
            <w:pPr>
              <w:spacing w:after="0"/>
              <w:rPr>
                <w:sz w:val="1"/>
                <w:szCs w:val="1"/>
                <w:color w:val="auto"/>
              </w:rPr>
            </w:pPr>
          </w:p>
        </w:tc>
      </w:tr>
      <w:tr>
        <w:trPr>
          <w:trHeight w:val="163"/>
        </w:trPr>
        <w:tc>
          <w:tcPr>
            <w:tcW w:w="510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Adjustments to reconcile net income to net cash provided by operating</w:t>
            </w: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activities:</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100" w:type="dxa"/>
            <w:vAlign w:val="bottom"/>
          </w:tcPr>
          <w:p>
            <w:pPr>
              <w:ind w:left="220"/>
              <w:spacing w:after="0"/>
              <w:rPr>
                <w:sz w:val="20"/>
                <w:szCs w:val="20"/>
                <w:color w:val="auto"/>
              </w:rPr>
            </w:pPr>
            <w:r>
              <w:rPr>
                <w:rFonts w:ascii="Arial" w:cs="Arial" w:eastAsia="Arial" w:hAnsi="Arial"/>
                <w:sz w:val="16"/>
                <w:szCs w:val="16"/>
                <w:color w:val="auto"/>
              </w:rPr>
              <w:t>Stock-based compensation expense</w:t>
            </w:r>
          </w:p>
        </w:tc>
        <w:tc>
          <w:tcPr>
            <w:tcW w:w="340" w:type="dxa"/>
            <w:vAlign w:val="bottom"/>
          </w:tcPr>
          <w:p>
            <w:pPr>
              <w:spacing w:after="0"/>
              <w:rPr>
                <w:sz w:val="17"/>
                <w:szCs w:val="17"/>
                <w:color w:val="auto"/>
              </w:rPr>
            </w:pPr>
          </w:p>
        </w:tc>
        <w:tc>
          <w:tcPr>
            <w:tcW w:w="1120" w:type="dxa"/>
            <w:vAlign w:val="bottom"/>
          </w:tcPr>
          <w:p>
            <w:pPr>
              <w:jc w:val="right"/>
              <w:ind w:right="3"/>
              <w:spacing w:after="0"/>
              <w:rPr>
                <w:sz w:val="20"/>
                <w:szCs w:val="20"/>
                <w:color w:val="auto"/>
              </w:rPr>
            </w:pPr>
            <w:r>
              <w:rPr>
                <w:rFonts w:ascii="Arial" w:cs="Arial" w:eastAsia="Arial" w:hAnsi="Arial"/>
                <w:sz w:val="16"/>
                <w:szCs w:val="16"/>
                <w:color w:val="auto"/>
              </w:rPr>
              <w:t>102,142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56,855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201,111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85,632</w:t>
            </w:r>
          </w:p>
        </w:tc>
        <w:tc>
          <w:tcPr>
            <w:tcW w:w="0" w:type="dxa"/>
            <w:vAlign w:val="bottom"/>
          </w:tcPr>
          <w:p>
            <w:pPr>
              <w:spacing w:after="0"/>
              <w:rPr>
                <w:sz w:val="1"/>
                <w:szCs w:val="1"/>
                <w:color w:val="auto"/>
              </w:rPr>
            </w:pPr>
          </w:p>
        </w:tc>
      </w:tr>
      <w:tr>
        <w:trPr>
          <w:trHeight w:val="210"/>
        </w:trPr>
        <w:tc>
          <w:tcPr>
            <w:tcW w:w="5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deferred contract acquisition costs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41,626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24,494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79,392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40,781</w:t>
            </w:r>
          </w:p>
        </w:tc>
        <w:tc>
          <w:tcPr>
            <w:tcW w:w="0" w:type="dxa"/>
            <w:vAlign w:val="bottom"/>
          </w:tcPr>
          <w:p>
            <w:pPr>
              <w:spacing w:after="0"/>
              <w:rPr>
                <w:sz w:val="1"/>
                <w:szCs w:val="1"/>
                <w:color w:val="auto"/>
              </w:rPr>
            </w:pPr>
          </w:p>
        </w:tc>
      </w:tr>
      <w:tr>
        <w:trPr>
          <w:trHeight w:val="204"/>
        </w:trPr>
        <w:tc>
          <w:tcPr>
            <w:tcW w:w="5100" w:type="dxa"/>
            <w:vAlign w:val="bottom"/>
          </w:tcPr>
          <w:p>
            <w:pPr>
              <w:ind w:left="220"/>
              <w:spacing w:after="0"/>
              <w:rPr>
                <w:sz w:val="20"/>
                <w:szCs w:val="20"/>
                <w:color w:val="auto"/>
              </w:rPr>
            </w:pPr>
            <w:r>
              <w:rPr>
                <w:rFonts w:ascii="Arial" w:cs="Arial" w:eastAsia="Arial" w:hAnsi="Arial"/>
                <w:sz w:val="16"/>
                <w:szCs w:val="16"/>
                <w:color w:val="auto"/>
              </w:rPr>
              <w:t>Gains on strategic investments</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(32,076)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(32,076)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(2,538)</w:t>
            </w:r>
          </w:p>
        </w:tc>
        <w:tc>
          <w:tcPr>
            <w:tcW w:w="0" w:type="dxa"/>
            <w:vAlign w:val="bottom"/>
          </w:tcPr>
          <w:p>
            <w:pPr>
              <w:spacing w:after="0"/>
              <w:rPr>
                <w:sz w:val="1"/>
                <w:szCs w:val="1"/>
                <w:color w:val="auto"/>
              </w:rPr>
            </w:pPr>
          </w:p>
        </w:tc>
      </w:tr>
      <w:tr>
        <w:trPr>
          <w:trHeight w:val="210"/>
        </w:trPr>
        <w:tc>
          <w:tcPr>
            <w:tcW w:w="5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Charitable donation of common stock</w:t>
            </w: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22,312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23,312</w:t>
            </w:r>
          </w:p>
        </w:tc>
        <w:tc>
          <w:tcPr>
            <w:tcW w:w="0" w:type="dxa"/>
            <w:vAlign w:val="bottom"/>
          </w:tcPr>
          <w:p>
            <w:pPr>
              <w:spacing w:after="0"/>
              <w:rPr>
                <w:sz w:val="1"/>
                <w:szCs w:val="1"/>
                <w:color w:val="auto"/>
              </w:rPr>
            </w:pPr>
          </w:p>
        </w:tc>
      </w:tr>
      <w:tr>
        <w:trPr>
          <w:trHeight w:val="204"/>
        </w:trPr>
        <w:tc>
          <w:tcPr>
            <w:tcW w:w="5100" w:type="dxa"/>
            <w:vAlign w:val="bottom"/>
          </w:tcPr>
          <w:p>
            <w:pPr>
              <w:ind w:left="220"/>
              <w:spacing w:after="0"/>
              <w:rPr>
                <w:sz w:val="20"/>
                <w:szCs w:val="20"/>
                <w:color w:val="auto"/>
              </w:rPr>
            </w:pPr>
            <w:r>
              <w:rPr>
                <w:rFonts w:ascii="Arial" w:cs="Arial" w:eastAsia="Arial" w:hAnsi="Arial"/>
                <w:sz w:val="16"/>
                <w:szCs w:val="16"/>
                <w:color w:val="auto"/>
              </w:rPr>
              <w:t>Provision for accounts receivable allowances</w:t>
            </w:r>
          </w:p>
        </w:tc>
        <w:tc>
          <w:tcPr>
            <w:tcW w:w="340" w:type="dxa"/>
            <w:vAlign w:val="bottom"/>
          </w:tcPr>
          <w:p>
            <w:pPr>
              <w:spacing w:after="0"/>
              <w:rPr>
                <w:sz w:val="17"/>
                <w:szCs w:val="17"/>
                <w:color w:val="auto"/>
              </w:rPr>
            </w:pPr>
          </w:p>
        </w:tc>
        <w:tc>
          <w:tcPr>
            <w:tcW w:w="1120" w:type="dxa"/>
            <w:vAlign w:val="bottom"/>
          </w:tcPr>
          <w:p>
            <w:pPr>
              <w:jc w:val="right"/>
              <w:ind w:right="3"/>
              <w:spacing w:after="0"/>
              <w:rPr>
                <w:sz w:val="20"/>
                <w:szCs w:val="20"/>
                <w:color w:val="auto"/>
              </w:rPr>
            </w:pPr>
            <w:r>
              <w:rPr>
                <w:rFonts w:ascii="Arial" w:cs="Arial" w:eastAsia="Arial" w:hAnsi="Arial"/>
                <w:sz w:val="16"/>
                <w:szCs w:val="16"/>
                <w:color w:val="auto"/>
              </w:rPr>
              <w:t>10,537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11,091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14,592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14,959</w:t>
            </w:r>
          </w:p>
        </w:tc>
        <w:tc>
          <w:tcPr>
            <w:tcW w:w="0" w:type="dxa"/>
            <w:vAlign w:val="bottom"/>
          </w:tcPr>
          <w:p>
            <w:pPr>
              <w:spacing w:after="0"/>
              <w:rPr>
                <w:sz w:val="1"/>
                <w:szCs w:val="1"/>
                <w:color w:val="auto"/>
              </w:rPr>
            </w:pPr>
          </w:p>
        </w:tc>
      </w:tr>
      <w:tr>
        <w:trPr>
          <w:trHeight w:val="210"/>
        </w:trPr>
        <w:tc>
          <w:tcPr>
            <w:tcW w:w="5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Depreciation and amortization</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12,028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6,475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22,691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11,814</w:t>
            </w:r>
          </w:p>
        </w:tc>
        <w:tc>
          <w:tcPr>
            <w:tcW w:w="0" w:type="dxa"/>
            <w:vAlign w:val="bottom"/>
          </w:tcPr>
          <w:p>
            <w:pPr>
              <w:spacing w:after="0"/>
              <w:rPr>
                <w:sz w:val="1"/>
                <w:szCs w:val="1"/>
                <w:color w:val="auto"/>
              </w:rPr>
            </w:pPr>
          </w:p>
        </w:tc>
      </w:tr>
      <w:tr>
        <w:trPr>
          <w:trHeight w:val="204"/>
        </w:trPr>
        <w:tc>
          <w:tcPr>
            <w:tcW w:w="5100" w:type="dxa"/>
            <w:vAlign w:val="bottom"/>
          </w:tcPr>
          <w:p>
            <w:pPr>
              <w:ind w:left="220"/>
              <w:spacing w:after="0"/>
              <w:rPr>
                <w:sz w:val="20"/>
                <w:szCs w:val="20"/>
                <w:color w:val="auto"/>
              </w:rPr>
            </w:pPr>
            <w:r>
              <w:rPr>
                <w:rFonts w:ascii="Arial" w:cs="Arial" w:eastAsia="Arial" w:hAnsi="Arial"/>
                <w:sz w:val="16"/>
                <w:szCs w:val="16"/>
                <w:color w:val="auto"/>
              </w:rPr>
              <w:t>Non-cash operating lease cost</w:t>
            </w:r>
          </w:p>
        </w:tc>
        <w:tc>
          <w:tcPr>
            <w:tcW w:w="340" w:type="dxa"/>
            <w:vAlign w:val="bottom"/>
          </w:tcPr>
          <w:p>
            <w:pPr>
              <w:spacing w:after="0"/>
              <w:rPr>
                <w:sz w:val="17"/>
                <w:szCs w:val="17"/>
                <w:color w:val="auto"/>
              </w:rPr>
            </w:pPr>
          </w:p>
        </w:tc>
        <w:tc>
          <w:tcPr>
            <w:tcW w:w="1120" w:type="dxa"/>
            <w:vAlign w:val="bottom"/>
          </w:tcPr>
          <w:p>
            <w:pPr>
              <w:jc w:val="right"/>
              <w:ind w:right="3"/>
              <w:spacing w:after="0"/>
              <w:rPr>
                <w:sz w:val="20"/>
                <w:szCs w:val="20"/>
                <w:color w:val="auto"/>
              </w:rPr>
            </w:pPr>
            <w:r>
              <w:rPr>
                <w:rFonts w:ascii="Arial" w:cs="Arial" w:eastAsia="Arial" w:hAnsi="Arial"/>
                <w:sz w:val="16"/>
                <w:szCs w:val="16"/>
                <w:color w:val="auto"/>
              </w:rPr>
              <w:t>4,359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2,349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8,633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4,597</w:t>
            </w:r>
          </w:p>
        </w:tc>
        <w:tc>
          <w:tcPr>
            <w:tcW w:w="0" w:type="dxa"/>
            <w:vAlign w:val="bottom"/>
          </w:tcPr>
          <w:p>
            <w:pPr>
              <w:spacing w:after="0"/>
              <w:rPr>
                <w:sz w:val="1"/>
                <w:szCs w:val="1"/>
                <w:color w:val="auto"/>
              </w:rPr>
            </w:pPr>
          </w:p>
        </w:tc>
      </w:tr>
      <w:tr>
        <w:trPr>
          <w:trHeight w:val="210"/>
        </w:trPr>
        <w:tc>
          <w:tcPr>
            <w:tcW w:w="5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on marketable securities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7,041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12,637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1,190</w:t>
            </w:r>
          </w:p>
        </w:tc>
        <w:tc>
          <w:tcPr>
            <w:tcW w:w="0" w:type="dxa"/>
            <w:vAlign w:val="bottom"/>
          </w:tcPr>
          <w:p>
            <w:pPr>
              <w:spacing w:after="0"/>
              <w:rPr>
                <w:sz w:val="1"/>
                <w:szCs w:val="1"/>
                <w:color w:val="auto"/>
              </w:rPr>
            </w:pPr>
          </w:p>
        </w:tc>
      </w:tr>
      <w:tr>
        <w:trPr>
          <w:trHeight w:val="204"/>
        </w:trPr>
        <w:tc>
          <w:tcPr>
            <w:tcW w:w="5100" w:type="dxa"/>
            <w:vAlign w:val="bottom"/>
          </w:tcPr>
          <w:p>
            <w:pPr>
              <w:ind w:left="220"/>
              <w:spacing w:after="0"/>
              <w:rPr>
                <w:sz w:val="20"/>
                <w:szCs w:val="20"/>
                <w:color w:val="auto"/>
              </w:rPr>
            </w:pPr>
            <w:r>
              <w:rPr>
                <w:rFonts w:ascii="Arial" w:cs="Arial" w:eastAsia="Arial" w:hAnsi="Arial"/>
                <w:sz w:val="16"/>
                <w:szCs w:val="16"/>
                <w:color w:val="auto"/>
              </w:rPr>
              <w:t>Other</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264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838</w:t>
            </w:r>
          </w:p>
        </w:tc>
        <w:tc>
          <w:tcPr>
            <w:tcW w:w="0" w:type="dxa"/>
            <w:vAlign w:val="bottom"/>
          </w:tcPr>
          <w:p>
            <w:pPr>
              <w:spacing w:after="0"/>
              <w:rPr>
                <w:sz w:val="1"/>
                <w:szCs w:val="1"/>
                <w:color w:val="auto"/>
              </w:rPr>
            </w:pPr>
          </w:p>
        </w:tc>
      </w:tr>
      <w:tr>
        <w:trPr>
          <w:trHeight w:val="210"/>
        </w:trPr>
        <w:tc>
          <w:tcPr>
            <w:tcW w:w="5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Changes in operating assets and liabilities: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5100" w:type="dxa"/>
            <w:vAlign w:val="bottom"/>
          </w:tcPr>
          <w:p>
            <w:pPr>
              <w:ind w:left="440"/>
              <w:spacing w:after="0"/>
              <w:rPr>
                <w:sz w:val="20"/>
                <w:szCs w:val="20"/>
                <w:color w:val="auto"/>
              </w:rPr>
            </w:pPr>
            <w:r>
              <w:rPr>
                <w:rFonts w:ascii="Arial" w:cs="Arial" w:eastAsia="Arial" w:hAnsi="Arial"/>
                <w:sz w:val="16"/>
                <w:szCs w:val="16"/>
                <w:color w:val="auto"/>
              </w:rPr>
              <w:t>Accounts receivable</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(41,594)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(54,425)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(117,259)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(196,926)</w:t>
            </w:r>
          </w:p>
        </w:tc>
        <w:tc>
          <w:tcPr>
            <w:tcW w:w="0" w:type="dxa"/>
            <w:vAlign w:val="bottom"/>
          </w:tcPr>
          <w:p>
            <w:pPr>
              <w:spacing w:after="0"/>
              <w:rPr>
                <w:sz w:val="1"/>
                <w:szCs w:val="1"/>
                <w:color w:val="auto"/>
              </w:rPr>
            </w:pPr>
          </w:p>
        </w:tc>
      </w:tr>
      <w:tr>
        <w:trPr>
          <w:trHeight w:val="210"/>
        </w:trPr>
        <w:tc>
          <w:tcPr>
            <w:tcW w:w="51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Prepaid expenses and other assets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(27,395)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(4,649)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(57,370)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(53,729)</w:t>
            </w:r>
          </w:p>
        </w:tc>
        <w:tc>
          <w:tcPr>
            <w:tcW w:w="0" w:type="dxa"/>
            <w:vAlign w:val="bottom"/>
          </w:tcPr>
          <w:p>
            <w:pPr>
              <w:spacing w:after="0"/>
              <w:rPr>
                <w:sz w:val="1"/>
                <w:szCs w:val="1"/>
                <w:color w:val="auto"/>
              </w:rPr>
            </w:pPr>
          </w:p>
        </w:tc>
      </w:tr>
      <w:tr>
        <w:trPr>
          <w:trHeight w:val="204"/>
        </w:trPr>
        <w:tc>
          <w:tcPr>
            <w:tcW w:w="5100" w:type="dxa"/>
            <w:vAlign w:val="bottom"/>
          </w:tcPr>
          <w:p>
            <w:pPr>
              <w:ind w:left="440"/>
              <w:spacing w:after="0"/>
              <w:rPr>
                <w:sz w:val="20"/>
                <w:szCs w:val="20"/>
                <w:color w:val="auto"/>
              </w:rPr>
            </w:pPr>
            <w:r>
              <w:rPr>
                <w:rFonts w:ascii="Arial" w:cs="Arial" w:eastAsia="Arial" w:hAnsi="Arial"/>
                <w:sz w:val="16"/>
                <w:szCs w:val="16"/>
                <w:color w:val="auto"/>
              </w:rPr>
              <w:t>Deferred contract acquisition costs</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(54,784)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(88,936)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(102,597)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(213,790)</w:t>
            </w:r>
          </w:p>
        </w:tc>
        <w:tc>
          <w:tcPr>
            <w:tcW w:w="0" w:type="dxa"/>
            <w:vAlign w:val="bottom"/>
          </w:tcPr>
          <w:p>
            <w:pPr>
              <w:spacing w:after="0"/>
              <w:rPr>
                <w:sz w:val="1"/>
                <w:szCs w:val="1"/>
                <w:color w:val="auto"/>
              </w:rPr>
            </w:pPr>
          </w:p>
        </w:tc>
      </w:tr>
      <w:tr>
        <w:trPr>
          <w:trHeight w:val="210"/>
        </w:trPr>
        <w:tc>
          <w:tcPr>
            <w:tcW w:w="51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Accounts payable</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42,368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9,115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43,960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10,871</w:t>
            </w:r>
          </w:p>
        </w:tc>
        <w:tc>
          <w:tcPr>
            <w:tcW w:w="0" w:type="dxa"/>
            <w:vAlign w:val="bottom"/>
          </w:tcPr>
          <w:p>
            <w:pPr>
              <w:spacing w:after="0"/>
              <w:rPr>
                <w:sz w:val="1"/>
                <w:szCs w:val="1"/>
                <w:color w:val="auto"/>
              </w:rPr>
            </w:pPr>
          </w:p>
        </w:tc>
      </w:tr>
      <w:tr>
        <w:trPr>
          <w:trHeight w:val="204"/>
        </w:trPr>
        <w:tc>
          <w:tcPr>
            <w:tcW w:w="5100" w:type="dxa"/>
            <w:vAlign w:val="bottom"/>
          </w:tcPr>
          <w:p>
            <w:pPr>
              <w:ind w:left="440"/>
              <w:spacing w:after="0"/>
              <w:rPr>
                <w:sz w:val="20"/>
                <w:szCs w:val="20"/>
                <w:color w:val="auto"/>
              </w:rPr>
            </w:pPr>
            <w:r>
              <w:rPr>
                <w:rFonts w:ascii="Arial" w:cs="Arial" w:eastAsia="Arial" w:hAnsi="Arial"/>
                <w:sz w:val="16"/>
                <w:szCs w:val="16"/>
                <w:color w:val="auto"/>
              </w:rPr>
              <w:t>Accrued expenses and other liabilities</w:t>
            </w:r>
          </w:p>
        </w:tc>
        <w:tc>
          <w:tcPr>
            <w:tcW w:w="340" w:type="dxa"/>
            <w:vAlign w:val="bottom"/>
          </w:tcPr>
          <w:p>
            <w:pPr>
              <w:spacing w:after="0"/>
              <w:rPr>
                <w:sz w:val="17"/>
                <w:szCs w:val="17"/>
                <w:color w:val="auto"/>
              </w:rPr>
            </w:pPr>
          </w:p>
        </w:tc>
        <w:tc>
          <w:tcPr>
            <w:tcW w:w="1120" w:type="dxa"/>
            <w:vAlign w:val="bottom"/>
          </w:tcPr>
          <w:p>
            <w:pPr>
              <w:jc w:val="right"/>
              <w:ind w:right="3"/>
              <w:spacing w:after="0"/>
              <w:rPr>
                <w:sz w:val="20"/>
                <w:szCs w:val="20"/>
                <w:color w:val="auto"/>
              </w:rPr>
            </w:pPr>
            <w:r>
              <w:rPr>
                <w:rFonts w:ascii="Arial" w:cs="Arial" w:eastAsia="Arial" w:hAnsi="Arial"/>
                <w:sz w:val="16"/>
                <w:szCs w:val="16"/>
                <w:color w:val="auto"/>
              </w:rPr>
              <w:t>5,153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34,744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93,809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202,066</w:t>
            </w:r>
          </w:p>
        </w:tc>
        <w:tc>
          <w:tcPr>
            <w:tcW w:w="0" w:type="dxa"/>
            <w:vAlign w:val="bottom"/>
          </w:tcPr>
          <w:p>
            <w:pPr>
              <w:spacing w:after="0"/>
              <w:rPr>
                <w:sz w:val="1"/>
                <w:szCs w:val="1"/>
                <w:color w:val="auto"/>
              </w:rPr>
            </w:pPr>
          </w:p>
        </w:tc>
      </w:tr>
      <w:tr>
        <w:trPr>
          <w:trHeight w:val="210"/>
        </w:trPr>
        <w:tc>
          <w:tcPr>
            <w:tcW w:w="51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Deferred revenue</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85,740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196,287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296,636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519,149</w:t>
            </w:r>
          </w:p>
        </w:tc>
        <w:tc>
          <w:tcPr>
            <w:tcW w:w="0" w:type="dxa"/>
            <w:vAlign w:val="bottom"/>
          </w:tcPr>
          <w:p>
            <w:pPr>
              <w:spacing w:after="0"/>
              <w:rPr>
                <w:sz w:val="1"/>
                <w:szCs w:val="1"/>
                <w:color w:val="auto"/>
              </w:rPr>
            </w:pPr>
          </w:p>
        </w:tc>
      </w:tr>
      <w:tr>
        <w:trPr>
          <w:trHeight w:val="204"/>
        </w:trPr>
        <w:tc>
          <w:tcPr>
            <w:tcW w:w="510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Operating lease liabilities, net</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(4,211)</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(1,266)</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(7,724)</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(979)</w:t>
            </w:r>
          </w:p>
        </w:tc>
        <w:tc>
          <w:tcPr>
            <w:tcW w:w="0" w:type="dxa"/>
            <w:vAlign w:val="bottom"/>
          </w:tcPr>
          <w:p>
            <w:pPr>
              <w:spacing w:after="0"/>
              <w:rPr>
                <w:sz w:val="1"/>
                <w:szCs w:val="1"/>
                <w:color w:val="auto"/>
              </w:rPr>
            </w:pPr>
          </w:p>
        </w:tc>
      </w:tr>
      <w:tr>
        <w:trPr>
          <w:trHeight w:val="202"/>
        </w:trPr>
        <w:tc>
          <w:tcPr>
            <w:tcW w:w="5100" w:type="dxa"/>
            <w:vAlign w:val="bottom"/>
            <w:shd w:val="clear" w:color="auto" w:fill="CCEEFF"/>
          </w:tcPr>
          <w:p>
            <w:pPr>
              <w:ind w:left="760"/>
              <w:spacing w:after="0"/>
              <w:rPr>
                <w:sz w:val="20"/>
                <w:szCs w:val="20"/>
                <w:color w:val="auto"/>
              </w:rPr>
            </w:pPr>
            <w:r>
              <w:rPr>
                <w:rFonts w:ascii="Arial" w:cs="Arial" w:eastAsia="Arial" w:hAnsi="Arial"/>
                <w:sz w:val="16"/>
                <w:szCs w:val="16"/>
                <w:color w:val="auto"/>
              </w:rPr>
              <w:t>Net cash provided by operating activities</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468,012</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401,346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1,001,314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660,311</w:t>
            </w:r>
          </w:p>
        </w:tc>
        <w:tc>
          <w:tcPr>
            <w:tcW w:w="0" w:type="dxa"/>
            <w:vAlign w:val="bottom"/>
          </w:tcPr>
          <w:p>
            <w:pPr>
              <w:spacing w:after="0"/>
              <w:rPr>
                <w:sz w:val="1"/>
                <w:szCs w:val="1"/>
                <w:color w:val="auto"/>
              </w:rPr>
            </w:pPr>
          </w:p>
        </w:tc>
      </w:tr>
      <w:tr>
        <w:trPr>
          <w:trHeight w:val="204"/>
        </w:trPr>
        <w:tc>
          <w:tcPr>
            <w:tcW w:w="510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Purchases of marketable securities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(669,136)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(277,336)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(2,094,587)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(484,882)</w:t>
            </w:r>
          </w:p>
        </w:tc>
        <w:tc>
          <w:tcPr>
            <w:tcW w:w="0" w:type="dxa"/>
            <w:vAlign w:val="bottom"/>
          </w:tcPr>
          <w:p>
            <w:pPr>
              <w:spacing w:after="0"/>
              <w:rPr>
                <w:sz w:val="1"/>
                <w:szCs w:val="1"/>
                <w:color w:val="auto"/>
              </w:rPr>
            </w:pPr>
          </w:p>
        </w:tc>
      </w:tr>
      <w:tr>
        <w:trPr>
          <w:trHeight w:val="204"/>
        </w:trPr>
        <w:tc>
          <w:tcPr>
            <w:tcW w:w="5100" w:type="dxa"/>
            <w:vAlign w:val="bottom"/>
          </w:tcPr>
          <w:p>
            <w:pPr>
              <w:ind w:left="220"/>
              <w:spacing w:after="0"/>
              <w:rPr>
                <w:sz w:val="20"/>
                <w:szCs w:val="20"/>
                <w:color w:val="auto"/>
              </w:rPr>
            </w:pPr>
            <w:r>
              <w:rPr>
                <w:rFonts w:ascii="Arial" w:cs="Arial" w:eastAsia="Arial" w:hAnsi="Arial"/>
                <w:sz w:val="16"/>
                <w:szCs w:val="16"/>
                <w:color w:val="auto"/>
              </w:rPr>
              <w:t>Maturities of marketable securities</w:t>
            </w:r>
          </w:p>
        </w:tc>
        <w:tc>
          <w:tcPr>
            <w:tcW w:w="340" w:type="dxa"/>
            <w:vAlign w:val="bottom"/>
          </w:tcPr>
          <w:p>
            <w:pPr>
              <w:spacing w:after="0"/>
              <w:rPr>
                <w:sz w:val="17"/>
                <w:szCs w:val="17"/>
                <w:color w:val="auto"/>
              </w:rPr>
            </w:pPr>
          </w:p>
        </w:tc>
        <w:tc>
          <w:tcPr>
            <w:tcW w:w="1120" w:type="dxa"/>
            <w:vAlign w:val="bottom"/>
          </w:tcPr>
          <w:p>
            <w:pPr>
              <w:jc w:val="right"/>
              <w:ind w:right="3"/>
              <w:spacing w:after="0"/>
              <w:rPr>
                <w:sz w:val="20"/>
                <w:szCs w:val="20"/>
                <w:color w:val="auto"/>
              </w:rPr>
            </w:pPr>
            <w:r>
              <w:rPr>
                <w:rFonts w:ascii="Arial" w:cs="Arial" w:eastAsia="Arial" w:hAnsi="Arial"/>
                <w:sz w:val="16"/>
                <w:szCs w:val="16"/>
                <w:color w:val="auto"/>
              </w:rPr>
              <w:t>500,859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150,324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791,906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287,338</w:t>
            </w:r>
          </w:p>
        </w:tc>
        <w:tc>
          <w:tcPr>
            <w:tcW w:w="0" w:type="dxa"/>
            <w:vAlign w:val="bottom"/>
          </w:tcPr>
          <w:p>
            <w:pPr>
              <w:spacing w:after="0"/>
              <w:rPr>
                <w:sz w:val="1"/>
                <w:szCs w:val="1"/>
                <w:color w:val="auto"/>
              </w:rPr>
            </w:pPr>
          </w:p>
        </w:tc>
      </w:tr>
      <w:tr>
        <w:trPr>
          <w:trHeight w:val="210"/>
        </w:trPr>
        <w:tc>
          <w:tcPr>
            <w:tcW w:w="5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Sales of marketable securities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119,569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10,284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119,569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36,897</w:t>
            </w:r>
          </w:p>
        </w:tc>
        <w:tc>
          <w:tcPr>
            <w:tcW w:w="0" w:type="dxa"/>
            <w:vAlign w:val="bottom"/>
          </w:tcPr>
          <w:p>
            <w:pPr>
              <w:spacing w:after="0"/>
              <w:rPr>
                <w:sz w:val="1"/>
                <w:szCs w:val="1"/>
                <w:color w:val="auto"/>
              </w:rPr>
            </w:pPr>
          </w:p>
        </w:tc>
      </w:tr>
      <w:tr>
        <w:trPr>
          <w:trHeight w:val="204"/>
        </w:trPr>
        <w:tc>
          <w:tcPr>
            <w:tcW w:w="5100" w:type="dxa"/>
            <w:vAlign w:val="bottom"/>
          </w:tcPr>
          <w:p>
            <w:pPr>
              <w:ind w:left="220"/>
              <w:spacing w:after="0"/>
              <w:rPr>
                <w:sz w:val="20"/>
                <w:szCs w:val="20"/>
                <w:color w:val="auto"/>
              </w:rPr>
            </w:pPr>
            <w:r>
              <w:rPr>
                <w:rFonts w:ascii="Arial" w:cs="Arial" w:eastAsia="Arial" w:hAnsi="Arial"/>
                <w:sz w:val="16"/>
                <w:szCs w:val="16"/>
                <w:color w:val="auto"/>
              </w:rPr>
              <w:t>Purchases of property and equipment</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(12,975)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(27,981)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(92,049)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(35,253)</w:t>
            </w:r>
          </w:p>
        </w:tc>
        <w:tc>
          <w:tcPr>
            <w:tcW w:w="0" w:type="dxa"/>
            <w:vAlign w:val="bottom"/>
          </w:tcPr>
          <w:p>
            <w:pPr>
              <w:spacing w:after="0"/>
              <w:rPr>
                <w:sz w:val="1"/>
                <w:szCs w:val="1"/>
                <w:color w:val="auto"/>
              </w:rPr>
            </w:pPr>
          </w:p>
        </w:tc>
      </w:tr>
      <w:tr>
        <w:trPr>
          <w:trHeight w:val="210"/>
        </w:trPr>
        <w:tc>
          <w:tcPr>
            <w:tcW w:w="5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Purchases of strategic investments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(80,400)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(86,900)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(13,000)</w:t>
            </w:r>
          </w:p>
        </w:tc>
        <w:tc>
          <w:tcPr>
            <w:tcW w:w="0" w:type="dxa"/>
            <w:vAlign w:val="bottom"/>
          </w:tcPr>
          <w:p>
            <w:pPr>
              <w:spacing w:after="0"/>
              <w:rPr>
                <w:sz w:val="1"/>
                <w:szCs w:val="1"/>
                <w:color w:val="auto"/>
              </w:rPr>
            </w:pPr>
          </w:p>
        </w:tc>
      </w:tr>
      <w:tr>
        <w:trPr>
          <w:trHeight w:val="204"/>
        </w:trPr>
        <w:tc>
          <w:tcPr>
            <w:tcW w:w="5100" w:type="dxa"/>
            <w:vAlign w:val="bottom"/>
          </w:tcPr>
          <w:p>
            <w:pPr>
              <w:ind w:left="220"/>
              <w:spacing w:after="0"/>
              <w:rPr>
                <w:sz w:val="20"/>
                <w:szCs w:val="20"/>
                <w:color w:val="auto"/>
              </w:rPr>
            </w:pPr>
            <w:r>
              <w:rPr>
                <w:rFonts w:ascii="Arial" w:cs="Arial" w:eastAsia="Arial" w:hAnsi="Arial"/>
                <w:sz w:val="16"/>
                <w:szCs w:val="16"/>
                <w:color w:val="auto"/>
              </w:rPr>
              <w:t>Cash paid for acquisition, net of cash acquired</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(2,121)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(26,486)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(2,121)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(26,486)</w:t>
            </w:r>
          </w:p>
        </w:tc>
        <w:tc>
          <w:tcPr>
            <w:tcW w:w="0" w:type="dxa"/>
            <w:vAlign w:val="bottom"/>
          </w:tcPr>
          <w:p>
            <w:pPr>
              <w:spacing w:after="0"/>
              <w:rPr>
                <w:sz w:val="1"/>
                <w:szCs w:val="1"/>
                <w:color w:val="auto"/>
              </w:rPr>
            </w:pPr>
          </w:p>
        </w:tc>
      </w:tr>
      <w:tr>
        <w:trPr>
          <w:trHeight w:val="210"/>
        </w:trPr>
        <w:tc>
          <w:tcPr>
            <w:tcW w:w="5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Purchase of intangible assets</w:t>
            </w: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(1,494)</w:t>
            </w:r>
          </w:p>
        </w:tc>
        <w:tc>
          <w:tcPr>
            <w:tcW w:w="0" w:type="dxa"/>
            <w:vAlign w:val="bottom"/>
          </w:tcPr>
          <w:p>
            <w:pPr>
              <w:spacing w:after="0"/>
              <w:rPr>
                <w:sz w:val="1"/>
                <w:szCs w:val="1"/>
                <w:color w:val="auto"/>
              </w:rPr>
            </w:pPr>
          </w:p>
        </w:tc>
      </w:tr>
      <w:tr>
        <w:trPr>
          <w:trHeight w:val="204"/>
        </w:trPr>
        <w:tc>
          <w:tcPr>
            <w:tcW w:w="5100" w:type="dxa"/>
            <w:vAlign w:val="bottom"/>
          </w:tcPr>
          <w:p>
            <w:pPr>
              <w:ind w:left="220"/>
              <w:spacing w:after="0"/>
              <w:rPr>
                <w:sz w:val="20"/>
                <w:szCs w:val="20"/>
                <w:color w:val="auto"/>
              </w:rPr>
            </w:pPr>
            <w:r>
              <w:rPr>
                <w:rFonts w:ascii="Arial" w:cs="Arial" w:eastAsia="Arial" w:hAnsi="Arial"/>
                <w:sz w:val="16"/>
                <w:szCs w:val="16"/>
                <w:color w:val="auto"/>
              </w:rPr>
              <w:t>Other</w:t>
            </w:r>
          </w:p>
        </w:tc>
        <w:tc>
          <w:tcPr>
            <w:tcW w:w="34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1,319</w:t>
            </w:r>
          </w:p>
        </w:tc>
        <w:tc>
          <w:tcPr>
            <w:tcW w:w="0" w:type="dxa"/>
            <w:vAlign w:val="bottom"/>
          </w:tcPr>
          <w:p>
            <w:pPr>
              <w:spacing w:after="0"/>
              <w:rPr>
                <w:sz w:val="1"/>
                <w:szCs w:val="1"/>
                <w:color w:val="auto"/>
              </w:rPr>
            </w:pPr>
          </w:p>
        </w:tc>
      </w:tr>
      <w:tr>
        <w:trPr>
          <w:trHeight w:val="202"/>
        </w:trPr>
        <w:tc>
          <w:tcPr>
            <w:tcW w:w="5100" w:type="dxa"/>
            <w:vAlign w:val="bottom"/>
            <w:tcBorders>
              <w:top w:val="single" w:sz="8" w:color="CCEEFF"/>
            </w:tcBorders>
            <w:shd w:val="clear" w:color="auto" w:fill="CCEEFF"/>
          </w:tcPr>
          <w:p>
            <w:pPr>
              <w:ind w:left="760"/>
              <w:spacing w:after="0"/>
              <w:rPr>
                <w:sz w:val="20"/>
                <w:szCs w:val="20"/>
                <w:color w:val="auto"/>
              </w:rPr>
            </w:pPr>
            <w:r>
              <w:rPr>
                <w:rFonts w:ascii="Arial" w:cs="Arial" w:eastAsia="Arial" w:hAnsi="Arial"/>
                <w:sz w:val="16"/>
                <w:szCs w:val="16"/>
                <w:color w:val="auto"/>
              </w:rPr>
              <w:t>Net cash used in investing activities</w:t>
            </w:r>
          </w:p>
        </w:tc>
        <w:tc>
          <w:tcPr>
            <w:tcW w:w="3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(144,204)</w:t>
            </w: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(172,527)</w:t>
            </w: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(1,364,182)</w:t>
            </w: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(235,561)</w:t>
            </w:r>
          </w:p>
        </w:tc>
        <w:tc>
          <w:tcPr>
            <w:tcW w:w="0" w:type="dxa"/>
            <w:vAlign w:val="bottom"/>
          </w:tcPr>
          <w:p>
            <w:pPr>
              <w:spacing w:after="0"/>
              <w:rPr>
                <w:sz w:val="1"/>
                <w:szCs w:val="1"/>
                <w:color w:val="auto"/>
              </w:rPr>
            </w:pPr>
          </w:p>
        </w:tc>
      </w:tr>
      <w:tr>
        <w:trPr>
          <w:trHeight w:val="204"/>
        </w:trPr>
        <w:tc>
          <w:tcPr>
            <w:tcW w:w="510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100" w:type="dxa"/>
            <w:vAlign w:val="bottom"/>
            <w:shd w:val="clear" w:color="auto" w:fill="CCEEFF"/>
          </w:tcPr>
          <w:p>
            <w:pPr>
              <w:ind w:left="220"/>
              <w:spacing w:after="0"/>
              <w:rPr>
                <w:sz w:val="20"/>
                <w:szCs w:val="20"/>
                <w:color w:val="auto"/>
              </w:rPr>
            </w:pPr>
            <w:r>
              <w:rPr>
                <w:rFonts w:ascii="Arial" w:cs="Arial" w:eastAsia="Arial" w:hAnsi="Arial"/>
                <w:sz w:val="16"/>
                <w:szCs w:val="16"/>
                <w:color w:val="auto"/>
                <w:w w:val="89"/>
              </w:rPr>
              <w:t>Proceeds from issuance of common stock for employee stock purchase plan</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37,846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20,760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37,846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20,760</w:t>
            </w:r>
          </w:p>
        </w:tc>
        <w:tc>
          <w:tcPr>
            <w:tcW w:w="0" w:type="dxa"/>
            <w:vAlign w:val="bottom"/>
          </w:tcPr>
          <w:p>
            <w:pPr>
              <w:spacing w:after="0"/>
              <w:rPr>
                <w:sz w:val="1"/>
                <w:szCs w:val="1"/>
                <w:color w:val="auto"/>
              </w:rPr>
            </w:pPr>
          </w:p>
        </w:tc>
      </w:tr>
      <w:tr>
        <w:trPr>
          <w:trHeight w:val="160"/>
        </w:trPr>
        <w:tc>
          <w:tcPr>
            <w:tcW w:w="5100" w:type="dxa"/>
            <w:vAlign w:val="bottom"/>
          </w:tcPr>
          <w:p>
            <w:pPr>
              <w:ind w:left="220"/>
              <w:spacing w:after="0" w:line="160" w:lineRule="exact"/>
              <w:rPr>
                <w:sz w:val="20"/>
                <w:szCs w:val="20"/>
                <w:color w:val="auto"/>
              </w:rPr>
            </w:pPr>
            <w:r>
              <w:rPr>
                <w:rFonts w:ascii="Arial" w:cs="Arial" w:eastAsia="Arial" w:hAnsi="Arial"/>
                <w:sz w:val="16"/>
                <w:szCs w:val="16"/>
                <w:color w:val="auto"/>
                <w:w w:val="93"/>
              </w:rPr>
              <w:t>Proceeds from employee equity transactions to be remitted to employees</w:t>
            </w:r>
          </w:p>
        </w:tc>
        <w:tc>
          <w:tcPr>
            <w:tcW w:w="340" w:type="dxa"/>
            <w:vAlign w:val="bottom"/>
          </w:tcPr>
          <w:p>
            <w:pPr>
              <w:spacing w:after="0"/>
              <w:rPr>
                <w:sz w:val="13"/>
                <w:szCs w:val="13"/>
                <w:color w:val="auto"/>
              </w:rPr>
            </w:pPr>
          </w:p>
        </w:tc>
        <w:tc>
          <w:tcPr>
            <w:tcW w:w="1120" w:type="dxa"/>
            <w:vAlign w:val="bottom"/>
            <w:vMerge w:val="restart"/>
          </w:tcPr>
          <w:p>
            <w:pPr>
              <w:jc w:val="right"/>
              <w:ind w:right="3"/>
              <w:spacing w:after="0"/>
              <w:rPr>
                <w:sz w:val="20"/>
                <w:szCs w:val="20"/>
                <w:color w:val="auto"/>
              </w:rPr>
            </w:pPr>
            <w:r>
              <w:rPr>
                <w:rFonts w:ascii="Arial" w:cs="Arial" w:eastAsia="Arial" w:hAnsi="Arial"/>
                <w:sz w:val="16"/>
                <w:szCs w:val="16"/>
                <w:color w:val="auto"/>
              </w:rPr>
              <w:t>28,884</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15,925</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18,900</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234,465</w:t>
            </w:r>
          </w:p>
        </w:tc>
        <w:tc>
          <w:tcPr>
            <w:tcW w:w="0" w:type="dxa"/>
            <w:vAlign w:val="bottom"/>
          </w:tcPr>
          <w:p>
            <w:pPr>
              <w:spacing w:after="0"/>
              <w:rPr>
                <w:sz w:val="1"/>
                <w:szCs w:val="1"/>
                <w:color w:val="auto"/>
              </w:rPr>
            </w:pPr>
          </w:p>
        </w:tc>
      </w:tr>
      <w:tr>
        <w:trPr>
          <w:trHeight w:val="199"/>
        </w:trPr>
        <w:tc>
          <w:tcPr>
            <w:tcW w:w="5100" w:type="dxa"/>
            <w:vAlign w:val="bottom"/>
          </w:tcPr>
          <w:p>
            <w:pPr>
              <w:ind w:left="220"/>
              <w:spacing w:after="0"/>
              <w:rPr>
                <w:sz w:val="20"/>
                <w:szCs w:val="20"/>
                <w:color w:val="auto"/>
              </w:rPr>
            </w:pPr>
            <w:r>
              <w:rPr>
                <w:rFonts w:ascii="Arial" w:cs="Arial" w:eastAsia="Arial" w:hAnsi="Arial"/>
                <w:sz w:val="16"/>
                <w:szCs w:val="16"/>
                <w:color w:val="auto"/>
              </w:rPr>
              <w:t>and tax authorities, net</w:t>
            </w:r>
          </w:p>
        </w:tc>
        <w:tc>
          <w:tcPr>
            <w:tcW w:w="34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exercise of stock options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4,653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7,831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8,021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17,417</w:t>
            </w:r>
          </w:p>
        </w:tc>
        <w:tc>
          <w:tcPr>
            <w:tcW w:w="0" w:type="dxa"/>
            <w:vAlign w:val="bottom"/>
          </w:tcPr>
          <w:p>
            <w:pPr>
              <w:spacing w:after="0"/>
              <w:rPr>
                <w:sz w:val="1"/>
                <w:szCs w:val="1"/>
                <w:color w:val="auto"/>
              </w:rPr>
            </w:pPr>
          </w:p>
        </w:tc>
      </w:tr>
      <w:tr>
        <w:trPr>
          <w:trHeight w:val="204"/>
        </w:trPr>
        <w:tc>
          <w:tcPr>
            <w:tcW w:w="5100" w:type="dxa"/>
            <w:vAlign w:val="bottom"/>
          </w:tcPr>
          <w:p>
            <w:pPr>
              <w:ind w:left="220"/>
              <w:spacing w:after="0"/>
              <w:rPr>
                <w:sz w:val="20"/>
                <w:szCs w:val="20"/>
                <w:color w:val="auto"/>
              </w:rPr>
            </w:pPr>
            <w:r>
              <w:rPr>
                <w:rFonts w:ascii="Arial" w:cs="Arial" w:eastAsia="Arial" w:hAnsi="Arial"/>
                <w:sz w:val="16"/>
                <w:szCs w:val="16"/>
                <w:color w:val="auto"/>
              </w:rPr>
              <w:t>Other</w:t>
            </w:r>
          </w:p>
        </w:tc>
        <w:tc>
          <w:tcPr>
            <w:tcW w:w="34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337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5100" w:type="dxa"/>
            <w:vAlign w:val="bottom"/>
            <w:tcBorders>
              <w:top w:val="single" w:sz="8" w:color="CCEEFF"/>
            </w:tcBorders>
            <w:shd w:val="clear" w:color="auto" w:fill="CCEEFF"/>
          </w:tcPr>
          <w:p>
            <w:pPr>
              <w:ind w:left="760"/>
              <w:spacing w:after="0"/>
              <w:rPr>
                <w:sz w:val="20"/>
                <w:szCs w:val="20"/>
                <w:color w:val="auto"/>
              </w:rPr>
            </w:pPr>
            <w:r>
              <w:rPr>
                <w:rFonts w:ascii="Arial" w:cs="Arial" w:eastAsia="Arial" w:hAnsi="Arial"/>
                <w:sz w:val="16"/>
                <w:szCs w:val="16"/>
                <w:color w:val="auto"/>
              </w:rPr>
              <w:t>Net cash provided by financing activities</w:t>
            </w:r>
          </w:p>
        </w:tc>
        <w:tc>
          <w:tcPr>
            <w:tcW w:w="340" w:type="dxa"/>
            <w:vAlign w:val="bottom"/>
            <w:tcBorders>
              <w:top w:val="single" w:sz="8" w:color="auto"/>
              <w:bottom w:val="single" w:sz="8" w:color="auto"/>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71,383</w:t>
            </w: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44,516</w:t>
            </w: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65,104</w:t>
            </w: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272,642</w:t>
            </w:r>
          </w:p>
        </w:tc>
        <w:tc>
          <w:tcPr>
            <w:tcW w:w="0" w:type="dxa"/>
            <w:vAlign w:val="bottom"/>
          </w:tcPr>
          <w:p>
            <w:pPr>
              <w:spacing w:after="0"/>
              <w:rPr>
                <w:sz w:val="1"/>
                <w:szCs w:val="1"/>
                <w:color w:val="auto"/>
              </w:rPr>
            </w:pPr>
          </w:p>
        </w:tc>
      </w:tr>
      <w:tr>
        <w:trPr>
          <w:trHeight w:val="197"/>
        </w:trPr>
        <w:tc>
          <w:tcPr>
            <w:tcW w:w="5100" w:type="dxa"/>
            <w:vAlign w:val="bottom"/>
          </w:tcPr>
          <w:p>
            <w:pPr>
              <w:ind w:left="2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340" w:type="dxa"/>
            <w:vAlign w:val="bottom"/>
          </w:tcPr>
          <w:p>
            <w:pPr>
              <w:spacing w:after="0"/>
              <w:rPr>
                <w:sz w:val="17"/>
                <w:szCs w:val="17"/>
                <w:color w:val="auto"/>
              </w:rPr>
            </w:pPr>
          </w:p>
        </w:tc>
        <w:tc>
          <w:tcPr>
            <w:tcW w:w="1120" w:type="dxa"/>
            <w:vAlign w:val="bottom"/>
          </w:tcPr>
          <w:p>
            <w:pPr>
              <w:jc w:val="right"/>
              <w:ind w:right="3"/>
              <w:spacing w:after="0"/>
              <w:rPr>
                <w:sz w:val="20"/>
                <w:szCs w:val="20"/>
                <w:color w:val="auto"/>
              </w:rPr>
            </w:pPr>
            <w:r>
              <w:rPr>
                <w:rFonts w:ascii="Arial" w:cs="Arial" w:eastAsia="Arial" w:hAnsi="Arial"/>
                <w:sz w:val="16"/>
                <w:szCs w:val="16"/>
                <w:color w:val="auto"/>
              </w:rPr>
              <w:t>395,191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273,335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(297,764)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697,392</w:t>
            </w:r>
          </w:p>
        </w:tc>
        <w:tc>
          <w:tcPr>
            <w:tcW w:w="0" w:type="dxa"/>
            <w:vAlign w:val="bottom"/>
          </w:tcPr>
          <w:p>
            <w:pPr>
              <w:spacing w:after="0"/>
              <w:rPr>
                <w:sz w:val="1"/>
                <w:szCs w:val="1"/>
                <w:color w:val="auto"/>
              </w:rPr>
            </w:pPr>
          </w:p>
        </w:tc>
      </w:tr>
      <w:tr>
        <w:trPr>
          <w:trHeight w:val="207"/>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 beginning of period</w:t>
            </w: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1,600,161</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758,139</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2,293,116</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334,082</w:t>
            </w:r>
          </w:p>
        </w:tc>
        <w:tc>
          <w:tcPr>
            <w:tcW w:w="0" w:type="dxa"/>
            <w:vAlign w:val="bottom"/>
          </w:tcPr>
          <w:p>
            <w:pPr>
              <w:spacing w:after="0"/>
              <w:rPr>
                <w:sz w:val="1"/>
                <w:szCs w:val="1"/>
                <w:color w:val="auto"/>
              </w:rPr>
            </w:pPr>
          </w:p>
        </w:tc>
      </w:tr>
      <w:tr>
        <w:trPr>
          <w:trHeight w:val="202"/>
        </w:trPr>
        <w:tc>
          <w:tcPr>
            <w:tcW w:w="510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 – end of period</w:t>
            </w:r>
          </w:p>
        </w:tc>
        <w:tc>
          <w:tcPr>
            <w:tcW w:w="3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1,995,352</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1,031,474</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1,995,352</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1,031,474</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612"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7"/>
          <w:szCs w:val="17"/>
          <w:b w:val="1"/>
          <w:bCs w:val="1"/>
          <w:color w:val="auto"/>
        </w:rPr>
        <w:t>Zoom Video Communications,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Reconciliation of GAAP to Non-GAAP Measures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in thousands, except share and per share amounts)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2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 July 31,</w:t>
            </w:r>
          </w:p>
        </w:tc>
        <w:tc>
          <w:tcPr>
            <w:tcW w:w="280" w:type="dxa"/>
            <w:vAlign w:val="bottom"/>
          </w:tcPr>
          <w:p>
            <w:pPr>
              <w:spacing w:after="0"/>
              <w:rPr>
                <w:sz w:val="16"/>
                <w:szCs w:val="16"/>
                <w:color w:val="auto"/>
              </w:rPr>
            </w:pPr>
          </w:p>
        </w:tc>
        <w:tc>
          <w:tcPr>
            <w:tcW w:w="2620" w:type="dxa"/>
            <w:vAlign w:val="bottom"/>
            <w:gridSpan w:val="4"/>
          </w:tcPr>
          <w:p>
            <w:pPr>
              <w:jc w:val="right"/>
              <w:ind w:right="575"/>
              <w:spacing w:after="0"/>
              <w:rPr>
                <w:sz w:val="20"/>
                <w:szCs w:val="20"/>
                <w:color w:val="auto"/>
              </w:rPr>
            </w:pPr>
            <w:r>
              <w:rPr>
                <w:rFonts w:ascii="Arial" w:cs="Arial" w:eastAsia="Arial" w:hAnsi="Arial"/>
                <w:sz w:val="14"/>
                <w:szCs w:val="14"/>
                <w:b w:val="1"/>
                <w:bCs w:val="1"/>
                <w:color w:val="auto"/>
              </w:rPr>
              <w:t>Six Months Ended July 31,</w:t>
            </w:r>
          </w:p>
        </w:tc>
        <w:tc>
          <w:tcPr>
            <w:tcW w:w="0" w:type="dxa"/>
            <w:vAlign w:val="bottom"/>
          </w:tcPr>
          <w:p>
            <w:pPr>
              <w:spacing w:after="0"/>
              <w:rPr>
                <w:sz w:val="1"/>
                <w:szCs w:val="1"/>
                <w:color w:val="auto"/>
              </w:rPr>
            </w:pPr>
          </w:p>
        </w:tc>
      </w:tr>
      <w:tr>
        <w:trPr>
          <w:trHeight w:val="179"/>
        </w:trPr>
        <w:tc>
          <w:tcPr>
            <w:tcW w:w="5320" w:type="dxa"/>
            <w:vAlign w:val="bottom"/>
            <w:tcBorders>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4"/>
        </w:trPr>
        <w:tc>
          <w:tcPr>
            <w:tcW w:w="5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GAAP income from operations</w:t>
            </w:r>
          </w:p>
        </w:tc>
        <w:tc>
          <w:tcPr>
            <w:tcW w:w="30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294,603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188,104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520,915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211,489</w:t>
            </w:r>
          </w:p>
        </w:tc>
        <w:tc>
          <w:tcPr>
            <w:tcW w:w="0" w:type="dxa"/>
            <w:vAlign w:val="bottom"/>
          </w:tcPr>
          <w:p>
            <w:pPr>
              <w:spacing w:after="0"/>
              <w:rPr>
                <w:sz w:val="1"/>
                <w:szCs w:val="1"/>
                <w:color w:val="auto"/>
              </w:rPr>
            </w:pPr>
          </w:p>
        </w:tc>
      </w:tr>
      <w:tr>
        <w:trPr>
          <w:trHeight w:val="220"/>
        </w:trPr>
        <w:tc>
          <w:tcPr>
            <w:tcW w:w="5320" w:type="dxa"/>
            <w:vAlign w:val="bottom"/>
          </w:tcPr>
          <w:p>
            <w:pPr>
              <w:ind w:left="20"/>
              <w:spacing w:after="0"/>
              <w:rPr>
                <w:sz w:val="20"/>
                <w:szCs w:val="20"/>
                <w:color w:val="auto"/>
              </w:rPr>
            </w:pPr>
            <w:r>
              <w:rPr>
                <w:rFonts w:ascii="Arial" w:cs="Arial" w:eastAsia="Arial" w:hAnsi="Arial"/>
                <w:sz w:val="17"/>
                <w:szCs w:val="17"/>
                <w:color w:val="auto"/>
              </w:rPr>
              <w:t>Adjustments:</w:t>
            </w: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3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Stock-based compensation expense and related payroll taxes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116,742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61,602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221,117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91,848</w:t>
            </w:r>
          </w:p>
        </w:tc>
        <w:tc>
          <w:tcPr>
            <w:tcW w:w="0" w:type="dxa"/>
            <w:vAlign w:val="bottom"/>
          </w:tcPr>
          <w:p>
            <w:pPr>
              <w:spacing w:after="0"/>
              <w:rPr>
                <w:sz w:val="1"/>
                <w:szCs w:val="1"/>
                <w:color w:val="auto"/>
              </w:rPr>
            </w:pPr>
          </w:p>
        </w:tc>
      </w:tr>
      <w:tr>
        <w:trPr>
          <w:trHeight w:val="220"/>
        </w:trPr>
        <w:tc>
          <w:tcPr>
            <w:tcW w:w="5320" w:type="dxa"/>
            <w:vAlign w:val="bottom"/>
          </w:tcPr>
          <w:p>
            <w:pPr>
              <w:ind w:left="220"/>
              <w:spacing w:after="0"/>
              <w:rPr>
                <w:sz w:val="20"/>
                <w:szCs w:val="20"/>
                <w:color w:val="auto"/>
              </w:rPr>
            </w:pPr>
            <w:r>
              <w:rPr>
                <w:rFonts w:ascii="Arial" w:cs="Arial" w:eastAsia="Arial" w:hAnsi="Arial"/>
                <w:sz w:val="17"/>
                <w:szCs w:val="17"/>
                <w:color w:val="auto"/>
              </w:rPr>
              <w:t>Litigation settlements, net</w:t>
            </w:r>
          </w:p>
        </w:tc>
        <w:tc>
          <w:tcPr>
            <w:tcW w:w="3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66,916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53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Acquisition-related expenses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13,320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4,942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16,604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4,942</w:t>
            </w:r>
          </w:p>
        </w:tc>
        <w:tc>
          <w:tcPr>
            <w:tcW w:w="0" w:type="dxa"/>
            <w:vAlign w:val="bottom"/>
          </w:tcPr>
          <w:p>
            <w:pPr>
              <w:spacing w:after="0"/>
              <w:rPr>
                <w:sz w:val="1"/>
                <w:szCs w:val="1"/>
                <w:color w:val="auto"/>
              </w:rPr>
            </w:pPr>
          </w:p>
        </w:tc>
      </w:tr>
      <w:tr>
        <w:trPr>
          <w:trHeight w:val="220"/>
        </w:trPr>
        <w:tc>
          <w:tcPr>
            <w:tcW w:w="5320" w:type="dxa"/>
            <w:vAlign w:val="bottom"/>
          </w:tcPr>
          <w:p>
            <w:pPr>
              <w:ind w:left="220"/>
              <w:spacing w:after="0"/>
              <w:rPr>
                <w:sz w:val="20"/>
                <w:szCs w:val="20"/>
                <w:color w:val="auto"/>
              </w:rPr>
            </w:pPr>
            <w:r>
              <w:rPr>
                <w:rFonts w:ascii="Arial" w:cs="Arial" w:eastAsia="Arial" w:hAnsi="Arial"/>
                <w:sz w:val="17"/>
                <w:szCs w:val="17"/>
                <w:color w:val="auto"/>
              </w:rPr>
              <w:t>Charitable donation of common stock</w:t>
            </w:r>
          </w:p>
        </w:tc>
        <w:tc>
          <w:tcPr>
            <w:tcW w:w="3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22,312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23,312</w:t>
            </w:r>
          </w:p>
        </w:tc>
        <w:tc>
          <w:tcPr>
            <w:tcW w:w="0" w:type="dxa"/>
            <w:vAlign w:val="bottom"/>
          </w:tcPr>
          <w:p>
            <w:pPr>
              <w:spacing w:after="0"/>
              <w:rPr>
                <w:sz w:val="1"/>
                <w:szCs w:val="1"/>
                <w:color w:val="auto"/>
              </w:rPr>
            </w:pPr>
          </w:p>
        </w:tc>
      </w:tr>
      <w:tr>
        <w:trPr>
          <w:trHeight w:val="238"/>
        </w:trPr>
        <w:tc>
          <w:tcPr>
            <w:tcW w:w="5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Non-GAAP income from operations</w:t>
            </w:r>
          </w:p>
        </w:tc>
        <w:tc>
          <w:tcPr>
            <w:tcW w:w="30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424,665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276,960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825,552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331,591</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5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5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GAAP net income attributable to common stockholders</w:t>
            </w:r>
          </w:p>
        </w:tc>
        <w:tc>
          <w:tcPr>
            <w:tcW w:w="30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316,930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185,742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544,306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212,759</w:t>
            </w:r>
          </w:p>
        </w:tc>
        <w:tc>
          <w:tcPr>
            <w:tcW w:w="0" w:type="dxa"/>
            <w:vAlign w:val="bottom"/>
          </w:tcPr>
          <w:p>
            <w:pPr>
              <w:spacing w:after="0"/>
              <w:rPr>
                <w:sz w:val="1"/>
                <w:szCs w:val="1"/>
                <w:color w:val="auto"/>
              </w:rPr>
            </w:pPr>
          </w:p>
        </w:tc>
      </w:tr>
      <w:tr>
        <w:trPr>
          <w:trHeight w:val="220"/>
        </w:trPr>
        <w:tc>
          <w:tcPr>
            <w:tcW w:w="5320" w:type="dxa"/>
            <w:vAlign w:val="bottom"/>
          </w:tcPr>
          <w:p>
            <w:pPr>
              <w:ind w:left="20"/>
              <w:spacing w:after="0"/>
              <w:rPr>
                <w:sz w:val="20"/>
                <w:szCs w:val="20"/>
                <w:color w:val="auto"/>
              </w:rPr>
            </w:pPr>
            <w:r>
              <w:rPr>
                <w:rFonts w:ascii="Arial" w:cs="Arial" w:eastAsia="Arial" w:hAnsi="Arial"/>
                <w:sz w:val="17"/>
                <w:szCs w:val="17"/>
                <w:color w:val="auto"/>
              </w:rPr>
              <w:t>Adjustments:</w:t>
            </w: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3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Stock-based compensation expense and related payroll taxes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116,742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61,602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221,117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91,848</w:t>
            </w:r>
          </w:p>
        </w:tc>
        <w:tc>
          <w:tcPr>
            <w:tcW w:w="0" w:type="dxa"/>
            <w:vAlign w:val="bottom"/>
          </w:tcPr>
          <w:p>
            <w:pPr>
              <w:spacing w:after="0"/>
              <w:rPr>
                <w:sz w:val="1"/>
                <w:szCs w:val="1"/>
                <w:color w:val="auto"/>
              </w:rPr>
            </w:pPr>
          </w:p>
        </w:tc>
      </w:tr>
      <w:tr>
        <w:trPr>
          <w:trHeight w:val="220"/>
        </w:trPr>
        <w:tc>
          <w:tcPr>
            <w:tcW w:w="5320" w:type="dxa"/>
            <w:vAlign w:val="bottom"/>
          </w:tcPr>
          <w:p>
            <w:pPr>
              <w:ind w:left="220"/>
              <w:spacing w:after="0"/>
              <w:rPr>
                <w:sz w:val="20"/>
                <w:szCs w:val="20"/>
                <w:color w:val="auto"/>
              </w:rPr>
            </w:pPr>
            <w:r>
              <w:rPr>
                <w:rFonts w:ascii="Arial" w:cs="Arial" w:eastAsia="Arial" w:hAnsi="Arial"/>
                <w:sz w:val="17"/>
                <w:szCs w:val="17"/>
                <w:color w:val="auto"/>
              </w:rPr>
              <w:t>Litigation settlements, net</w:t>
            </w:r>
          </w:p>
        </w:tc>
        <w:tc>
          <w:tcPr>
            <w:tcW w:w="3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66,916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53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Gains on strategic investments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(32,076)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(32,076)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5320" w:type="dxa"/>
            <w:vAlign w:val="bottom"/>
          </w:tcPr>
          <w:p>
            <w:pPr>
              <w:ind w:left="220"/>
              <w:spacing w:after="0"/>
              <w:rPr>
                <w:sz w:val="20"/>
                <w:szCs w:val="20"/>
                <w:color w:val="auto"/>
              </w:rPr>
            </w:pPr>
            <w:r>
              <w:rPr>
                <w:rFonts w:ascii="Arial" w:cs="Arial" w:eastAsia="Arial" w:hAnsi="Arial"/>
                <w:sz w:val="17"/>
                <w:szCs w:val="17"/>
                <w:color w:val="auto"/>
              </w:rPr>
              <w:t>Acquisition-related expenses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13,320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4,942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16,604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4,942</w:t>
            </w:r>
          </w:p>
        </w:tc>
        <w:tc>
          <w:tcPr>
            <w:tcW w:w="0" w:type="dxa"/>
            <w:vAlign w:val="bottom"/>
          </w:tcPr>
          <w:p>
            <w:pPr>
              <w:spacing w:after="0"/>
              <w:rPr>
                <w:sz w:val="1"/>
                <w:szCs w:val="1"/>
                <w:color w:val="auto"/>
              </w:rPr>
            </w:pPr>
          </w:p>
        </w:tc>
      </w:tr>
      <w:tr>
        <w:trPr>
          <w:trHeight w:val="220"/>
        </w:trPr>
        <w:tc>
          <w:tcPr>
            <w:tcW w:w="53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Charitable donation of common stock</w:t>
            </w:r>
          </w:p>
        </w:tc>
        <w:tc>
          <w:tcPr>
            <w:tcW w:w="3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22,312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23,312</w:t>
            </w:r>
          </w:p>
        </w:tc>
        <w:tc>
          <w:tcPr>
            <w:tcW w:w="0" w:type="dxa"/>
            <w:vAlign w:val="bottom"/>
          </w:tcPr>
          <w:p>
            <w:pPr>
              <w:spacing w:after="0"/>
              <w:rPr>
                <w:sz w:val="1"/>
                <w:szCs w:val="1"/>
                <w:color w:val="auto"/>
              </w:rPr>
            </w:pPr>
          </w:p>
        </w:tc>
      </w:tr>
      <w:tr>
        <w:trPr>
          <w:trHeight w:val="220"/>
        </w:trPr>
        <w:tc>
          <w:tcPr>
            <w:tcW w:w="532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Undistributed earnings attributable to participating securities</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305</w:t>
            </w:r>
          </w:p>
        </w:tc>
        <w:tc>
          <w:tcPr>
            <w:tcW w:w="0" w:type="dxa"/>
            <w:vAlign w:val="bottom"/>
          </w:tcPr>
          <w:p>
            <w:pPr>
              <w:spacing w:after="0"/>
              <w:rPr>
                <w:sz w:val="1"/>
                <w:szCs w:val="1"/>
                <w:color w:val="auto"/>
              </w:rPr>
            </w:pPr>
          </w:p>
        </w:tc>
      </w:tr>
      <w:tr>
        <w:trPr>
          <w:trHeight w:val="238"/>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Non-GAAP net income</w:t>
            </w:r>
          </w:p>
        </w:tc>
        <w:tc>
          <w:tcPr>
            <w:tcW w:w="3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415,070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274,845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817,176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333,166</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5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5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 per share - basic and diluted:</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320" w:type="dxa"/>
            <w:vAlign w:val="bottom"/>
          </w:tcPr>
          <w:p>
            <w:pPr>
              <w:ind w:left="220"/>
              <w:spacing w:after="0"/>
              <w:rPr>
                <w:sz w:val="20"/>
                <w:szCs w:val="20"/>
                <w:color w:val="auto"/>
              </w:rPr>
            </w:pPr>
            <w:r>
              <w:rPr>
                <w:rFonts w:ascii="Arial" w:cs="Arial" w:eastAsia="Arial" w:hAnsi="Arial"/>
                <w:sz w:val="17"/>
                <w:szCs w:val="17"/>
                <w:color w:val="auto"/>
              </w:rPr>
              <w:t>GAAP net income per share - basic</w:t>
            </w:r>
          </w:p>
        </w:tc>
        <w:tc>
          <w:tcPr>
            <w:tcW w:w="30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0.66</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1.85</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0.76</w:t>
            </w:r>
          </w:p>
        </w:tc>
        <w:tc>
          <w:tcPr>
            <w:tcW w:w="0" w:type="dxa"/>
            <w:vAlign w:val="bottom"/>
          </w:tcPr>
          <w:p>
            <w:pPr>
              <w:spacing w:after="0"/>
              <w:rPr>
                <w:sz w:val="1"/>
                <w:szCs w:val="1"/>
                <w:color w:val="auto"/>
              </w:rPr>
            </w:pP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3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Non-GAAP net income per share - basic</w:t>
            </w:r>
          </w:p>
        </w:tc>
        <w:tc>
          <w:tcPr>
            <w:tcW w:w="3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0.97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1.18</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320" w:type="dxa"/>
            <w:vAlign w:val="bottom"/>
          </w:tcPr>
          <w:p>
            <w:pPr>
              <w:ind w:left="220"/>
              <w:spacing w:after="0" w:line="191" w:lineRule="exact"/>
              <w:rPr>
                <w:sz w:val="20"/>
                <w:szCs w:val="20"/>
                <w:color w:val="auto"/>
              </w:rPr>
            </w:pPr>
            <w:r>
              <w:rPr>
                <w:rFonts w:ascii="Arial" w:cs="Arial" w:eastAsia="Arial" w:hAnsi="Arial"/>
                <w:sz w:val="17"/>
                <w:szCs w:val="17"/>
                <w:color w:val="auto"/>
              </w:rPr>
              <w:t>GAAP net income per share - diluted</w:t>
            </w:r>
          </w:p>
        </w:tc>
        <w:tc>
          <w:tcPr>
            <w:tcW w:w="300" w:type="dxa"/>
            <w:vAlign w:val="bottom"/>
            <w:tcBorders>
              <w:bottom w:val="single" w:sz="8" w:color="auto"/>
            </w:tcBorders>
          </w:tcPr>
          <w:p>
            <w:pPr>
              <w:jc w:val="right"/>
              <w:ind w:right="94"/>
              <w:spacing w:after="0" w:line="191" w:lineRule="exact"/>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color w:val="auto"/>
              </w:rPr>
              <w:t>1.04</w:t>
            </w:r>
          </w:p>
        </w:tc>
        <w:tc>
          <w:tcPr>
            <w:tcW w:w="100" w:type="dxa"/>
            <w:vAlign w:val="bottom"/>
          </w:tcPr>
          <w:p>
            <w:pPr>
              <w:spacing w:after="0"/>
              <w:rPr>
                <w:sz w:val="16"/>
                <w:szCs w:val="16"/>
                <w:color w:val="auto"/>
              </w:rPr>
            </w:pPr>
          </w:p>
        </w:tc>
        <w:tc>
          <w:tcPr>
            <w:tcW w:w="280" w:type="dxa"/>
            <w:vAlign w:val="bottom"/>
            <w:tcBorders>
              <w:bottom w:val="single" w:sz="8" w:color="auto"/>
            </w:tcBorders>
          </w:tcPr>
          <w:p>
            <w:pPr>
              <w:jc w:val="right"/>
              <w:ind w:right="94"/>
              <w:spacing w:after="0" w:line="191" w:lineRule="exact"/>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color w:val="auto"/>
              </w:rPr>
              <w:t>0.63</w:t>
            </w:r>
          </w:p>
        </w:tc>
        <w:tc>
          <w:tcPr>
            <w:tcW w:w="100" w:type="dxa"/>
            <w:vAlign w:val="bottom"/>
          </w:tcPr>
          <w:p>
            <w:pPr>
              <w:spacing w:after="0"/>
              <w:rPr>
                <w:sz w:val="16"/>
                <w:szCs w:val="16"/>
                <w:color w:val="auto"/>
              </w:rPr>
            </w:pPr>
          </w:p>
        </w:tc>
        <w:tc>
          <w:tcPr>
            <w:tcW w:w="280" w:type="dxa"/>
            <w:vAlign w:val="bottom"/>
            <w:tcBorders>
              <w:bottom w:val="single" w:sz="8" w:color="auto"/>
            </w:tcBorders>
          </w:tcPr>
          <w:p>
            <w:pPr>
              <w:jc w:val="right"/>
              <w:ind w:right="94"/>
              <w:spacing w:after="0" w:line="191" w:lineRule="exact"/>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color w:val="auto"/>
              </w:rPr>
              <w:t>1.78</w:t>
            </w:r>
          </w:p>
        </w:tc>
        <w:tc>
          <w:tcPr>
            <w:tcW w:w="100" w:type="dxa"/>
            <w:vAlign w:val="bottom"/>
          </w:tcPr>
          <w:p>
            <w:pPr>
              <w:spacing w:after="0"/>
              <w:rPr>
                <w:sz w:val="16"/>
                <w:szCs w:val="16"/>
                <w:color w:val="auto"/>
              </w:rPr>
            </w:pPr>
          </w:p>
        </w:tc>
        <w:tc>
          <w:tcPr>
            <w:tcW w:w="280" w:type="dxa"/>
            <w:vAlign w:val="bottom"/>
            <w:tcBorders>
              <w:bottom w:val="single" w:sz="8" w:color="auto"/>
            </w:tcBorders>
          </w:tcPr>
          <w:p>
            <w:pPr>
              <w:jc w:val="right"/>
              <w:ind w:right="94"/>
              <w:spacing w:after="0" w:line="191" w:lineRule="exact"/>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color w:val="auto"/>
              </w:rPr>
              <w:t>0.72</w:t>
            </w:r>
          </w:p>
        </w:tc>
        <w:tc>
          <w:tcPr>
            <w:tcW w:w="0" w:type="dxa"/>
            <w:vAlign w:val="bottom"/>
          </w:tcPr>
          <w:p>
            <w:pPr>
              <w:spacing w:after="0"/>
              <w:rPr>
                <w:sz w:val="1"/>
                <w:szCs w:val="1"/>
                <w:color w:val="auto"/>
              </w:rPr>
            </w:pP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3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Non-GAAP net income per share - diluted</w:t>
            </w:r>
          </w:p>
        </w:tc>
        <w:tc>
          <w:tcPr>
            <w:tcW w:w="3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0.92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1.12</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5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5320" w:type="dxa"/>
            <w:vAlign w:val="bottom"/>
            <w:shd w:val="clear" w:color="auto" w:fill="CCEEFF"/>
          </w:tcPr>
          <w:p>
            <w:pPr>
              <w:ind w:left="20"/>
              <w:spacing w:after="0" w:line="168" w:lineRule="exact"/>
              <w:rPr>
                <w:sz w:val="20"/>
                <w:szCs w:val="20"/>
                <w:color w:val="auto"/>
              </w:rPr>
            </w:pPr>
            <w:r>
              <w:rPr>
                <w:rFonts w:ascii="Arial" w:cs="Arial" w:eastAsia="Arial" w:hAnsi="Arial"/>
                <w:sz w:val="17"/>
                <w:szCs w:val="17"/>
                <w:color w:val="auto"/>
              </w:rPr>
              <w:t>GAAP and non-GAAP weighted-average shares used to compute net</w:t>
            </w:r>
          </w:p>
        </w:tc>
        <w:tc>
          <w:tcPr>
            <w:tcW w:w="30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295,712,675</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282,850,805</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294,769,619</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281,394,901</w:t>
            </w:r>
          </w:p>
        </w:tc>
        <w:tc>
          <w:tcPr>
            <w:tcW w:w="0" w:type="dxa"/>
            <w:vAlign w:val="bottom"/>
          </w:tcPr>
          <w:p>
            <w:pPr>
              <w:spacing w:after="0"/>
              <w:rPr>
                <w:sz w:val="1"/>
                <w:szCs w:val="1"/>
                <w:color w:val="auto"/>
              </w:rPr>
            </w:pPr>
          </w:p>
        </w:tc>
      </w:tr>
      <w:tr>
        <w:trPr>
          <w:trHeight w:val="219"/>
        </w:trPr>
        <w:tc>
          <w:tcPr>
            <w:tcW w:w="5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per share - basic</w:t>
            </w:r>
          </w:p>
        </w:tc>
        <w:tc>
          <w:tcPr>
            <w:tcW w:w="30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5320" w:type="dxa"/>
            <w:vAlign w:val="bottom"/>
          </w:tcPr>
          <w:p>
            <w:pPr>
              <w:ind w:left="20"/>
              <w:spacing w:after="0" w:line="168" w:lineRule="exact"/>
              <w:rPr>
                <w:sz w:val="20"/>
                <w:szCs w:val="20"/>
                <w:color w:val="auto"/>
              </w:rPr>
            </w:pPr>
            <w:r>
              <w:rPr>
                <w:rFonts w:ascii="Arial" w:cs="Arial" w:eastAsia="Arial" w:hAnsi="Arial"/>
                <w:sz w:val="17"/>
                <w:szCs w:val="17"/>
                <w:color w:val="auto"/>
              </w:rPr>
              <w:t>GAAP and non-GAAP weighted-average shares used to compute net</w:t>
            </w:r>
          </w:p>
        </w:tc>
        <w:tc>
          <w:tcPr>
            <w:tcW w:w="30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7"/>
                <w:szCs w:val="17"/>
                <w:color w:val="auto"/>
              </w:rPr>
              <w:t>305,861,051</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7"/>
                <w:szCs w:val="17"/>
                <w:color w:val="auto"/>
              </w:rPr>
              <w:t>297,162,309</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7"/>
                <w:szCs w:val="17"/>
                <w:color w:val="auto"/>
              </w:rPr>
              <w:t>305,652,628</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7"/>
                <w:szCs w:val="17"/>
                <w:color w:val="auto"/>
              </w:rPr>
              <w:t>296,408,229</w:t>
            </w:r>
          </w:p>
        </w:tc>
        <w:tc>
          <w:tcPr>
            <w:tcW w:w="0" w:type="dxa"/>
            <w:vAlign w:val="bottom"/>
          </w:tcPr>
          <w:p>
            <w:pPr>
              <w:spacing w:after="0"/>
              <w:rPr>
                <w:sz w:val="1"/>
                <w:szCs w:val="1"/>
                <w:color w:val="auto"/>
              </w:rPr>
            </w:pPr>
          </w:p>
        </w:tc>
      </w:tr>
      <w:tr>
        <w:trPr>
          <w:trHeight w:val="219"/>
        </w:trPr>
        <w:tc>
          <w:tcPr>
            <w:tcW w:w="5320" w:type="dxa"/>
            <w:vAlign w:val="bottom"/>
          </w:tcPr>
          <w:p>
            <w:pPr>
              <w:ind w:left="20"/>
              <w:spacing w:after="0"/>
              <w:rPr>
                <w:sz w:val="20"/>
                <w:szCs w:val="20"/>
                <w:color w:val="auto"/>
              </w:rPr>
            </w:pPr>
            <w:r>
              <w:rPr>
                <w:rFonts w:ascii="Arial" w:cs="Arial" w:eastAsia="Arial" w:hAnsi="Arial"/>
                <w:sz w:val="17"/>
                <w:szCs w:val="17"/>
                <w:color w:val="auto"/>
              </w:rPr>
              <w:t>income per share - diluted</w:t>
            </w:r>
          </w:p>
        </w:tc>
        <w:tc>
          <w:tcPr>
            <w:tcW w:w="30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53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5320" w:type="dxa"/>
            <w:vAlign w:val="bottom"/>
          </w:tcPr>
          <w:p>
            <w:pPr>
              <w:ind w:left="20"/>
              <w:spacing w:after="0"/>
              <w:rPr>
                <w:sz w:val="20"/>
                <w:szCs w:val="20"/>
                <w:color w:val="auto"/>
              </w:rPr>
            </w:pPr>
            <w:r>
              <w:rPr>
                <w:rFonts w:ascii="Arial" w:cs="Arial" w:eastAsia="Arial" w:hAnsi="Arial"/>
                <w:sz w:val="17"/>
                <w:szCs w:val="17"/>
                <w:color w:val="auto"/>
              </w:rPr>
              <w:t>Net cash provided by operating activities</w:t>
            </w:r>
          </w:p>
        </w:tc>
        <w:tc>
          <w:tcPr>
            <w:tcW w:w="300" w:type="dxa"/>
            <w:vAlign w:val="bottom"/>
          </w:tcPr>
          <w:p>
            <w:pPr>
              <w:jc w:val="right"/>
              <w:ind w:right="94"/>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468,012</w:t>
            </w:r>
          </w:p>
        </w:tc>
        <w:tc>
          <w:tcPr>
            <w:tcW w:w="10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401,346</w:t>
            </w:r>
          </w:p>
        </w:tc>
        <w:tc>
          <w:tcPr>
            <w:tcW w:w="10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1,001,314</w:t>
            </w:r>
          </w:p>
        </w:tc>
        <w:tc>
          <w:tcPr>
            <w:tcW w:w="10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660,311</w:t>
            </w:r>
          </w:p>
        </w:tc>
        <w:tc>
          <w:tcPr>
            <w:tcW w:w="0" w:type="dxa"/>
            <w:vAlign w:val="bottom"/>
          </w:tcPr>
          <w:p>
            <w:pPr>
              <w:spacing w:after="0"/>
              <w:rPr>
                <w:sz w:val="1"/>
                <w:szCs w:val="1"/>
                <w:color w:val="auto"/>
              </w:rPr>
            </w:pPr>
          </w:p>
        </w:tc>
      </w:tr>
      <w:tr>
        <w:trPr>
          <w:trHeight w:val="220"/>
        </w:trPr>
        <w:tc>
          <w:tcPr>
            <w:tcW w:w="5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Less: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32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Purchases of property and equipment</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(12,975)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(27,981)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(92,049)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(35,253)</w:t>
            </w:r>
          </w:p>
        </w:tc>
        <w:tc>
          <w:tcPr>
            <w:tcW w:w="0" w:type="dxa"/>
            <w:vAlign w:val="bottom"/>
          </w:tcPr>
          <w:p>
            <w:pPr>
              <w:spacing w:after="0"/>
              <w:rPr>
                <w:sz w:val="1"/>
                <w:szCs w:val="1"/>
                <w:color w:val="auto"/>
              </w:rPr>
            </w:pPr>
          </w:p>
        </w:tc>
      </w:tr>
      <w:tr>
        <w:trPr>
          <w:trHeight w:val="238"/>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Free cash flow (non-GAAP)</w:t>
            </w:r>
          </w:p>
        </w:tc>
        <w:tc>
          <w:tcPr>
            <w:tcW w:w="3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455,037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373,365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909,265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625,058</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320" w:type="dxa"/>
            <w:vAlign w:val="bottom"/>
          </w:tcPr>
          <w:p>
            <w:pPr>
              <w:ind w:left="20"/>
              <w:spacing w:after="0" w:line="191" w:lineRule="exact"/>
              <w:rPr>
                <w:sz w:val="20"/>
                <w:szCs w:val="20"/>
                <w:color w:val="auto"/>
              </w:rPr>
            </w:pPr>
            <w:r>
              <w:rPr>
                <w:rFonts w:ascii="Arial" w:cs="Arial" w:eastAsia="Arial" w:hAnsi="Arial"/>
                <w:sz w:val="17"/>
                <w:szCs w:val="17"/>
                <w:color w:val="auto"/>
              </w:rPr>
              <w:t>Net cash used in investing activities</w:t>
            </w:r>
          </w:p>
        </w:tc>
        <w:tc>
          <w:tcPr>
            <w:tcW w:w="300" w:type="dxa"/>
            <w:vAlign w:val="bottom"/>
            <w:tcBorders>
              <w:bottom w:val="single" w:sz="8" w:color="auto"/>
            </w:tcBorders>
          </w:tcPr>
          <w:p>
            <w:pPr>
              <w:jc w:val="right"/>
              <w:ind w:right="94"/>
              <w:spacing w:after="0" w:line="191" w:lineRule="exact"/>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color w:val="auto"/>
              </w:rPr>
              <w:t>(144,204)</w:t>
            </w:r>
          </w:p>
        </w:tc>
        <w:tc>
          <w:tcPr>
            <w:tcW w:w="100" w:type="dxa"/>
            <w:vAlign w:val="bottom"/>
          </w:tcPr>
          <w:p>
            <w:pPr>
              <w:spacing w:after="0"/>
              <w:rPr>
                <w:sz w:val="16"/>
                <w:szCs w:val="16"/>
                <w:color w:val="auto"/>
              </w:rPr>
            </w:pPr>
          </w:p>
        </w:tc>
        <w:tc>
          <w:tcPr>
            <w:tcW w:w="280" w:type="dxa"/>
            <w:vAlign w:val="bottom"/>
            <w:tcBorders>
              <w:bottom w:val="single" w:sz="8" w:color="auto"/>
            </w:tcBorders>
          </w:tcPr>
          <w:p>
            <w:pPr>
              <w:jc w:val="right"/>
              <w:ind w:right="94"/>
              <w:spacing w:after="0" w:line="191" w:lineRule="exact"/>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color w:val="auto"/>
              </w:rPr>
              <w:t>(172,527)</w:t>
            </w:r>
          </w:p>
        </w:tc>
        <w:tc>
          <w:tcPr>
            <w:tcW w:w="100" w:type="dxa"/>
            <w:vAlign w:val="bottom"/>
          </w:tcPr>
          <w:p>
            <w:pPr>
              <w:spacing w:after="0"/>
              <w:rPr>
                <w:sz w:val="16"/>
                <w:szCs w:val="16"/>
                <w:color w:val="auto"/>
              </w:rPr>
            </w:pPr>
          </w:p>
        </w:tc>
        <w:tc>
          <w:tcPr>
            <w:tcW w:w="280" w:type="dxa"/>
            <w:vAlign w:val="bottom"/>
            <w:tcBorders>
              <w:bottom w:val="single" w:sz="8" w:color="auto"/>
            </w:tcBorders>
          </w:tcPr>
          <w:p>
            <w:pPr>
              <w:jc w:val="right"/>
              <w:ind w:right="94"/>
              <w:spacing w:after="0" w:line="191" w:lineRule="exact"/>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color w:val="auto"/>
              </w:rPr>
              <w:t>(1,364,182)</w:t>
            </w:r>
          </w:p>
        </w:tc>
        <w:tc>
          <w:tcPr>
            <w:tcW w:w="100" w:type="dxa"/>
            <w:vAlign w:val="bottom"/>
          </w:tcPr>
          <w:p>
            <w:pPr>
              <w:spacing w:after="0"/>
              <w:rPr>
                <w:sz w:val="16"/>
                <w:szCs w:val="16"/>
                <w:color w:val="auto"/>
              </w:rPr>
            </w:pPr>
          </w:p>
        </w:tc>
        <w:tc>
          <w:tcPr>
            <w:tcW w:w="280" w:type="dxa"/>
            <w:vAlign w:val="bottom"/>
            <w:tcBorders>
              <w:bottom w:val="single" w:sz="8" w:color="auto"/>
            </w:tcBorders>
          </w:tcPr>
          <w:p>
            <w:pPr>
              <w:jc w:val="right"/>
              <w:ind w:right="94"/>
              <w:spacing w:after="0" w:line="191" w:lineRule="exact"/>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color w:val="auto"/>
              </w:rPr>
              <w:t>(235,561)</w:t>
            </w:r>
          </w:p>
        </w:tc>
        <w:tc>
          <w:tcPr>
            <w:tcW w:w="0" w:type="dxa"/>
            <w:vAlign w:val="bottom"/>
          </w:tcPr>
          <w:p>
            <w:pPr>
              <w:spacing w:after="0"/>
              <w:rPr>
                <w:sz w:val="1"/>
                <w:szCs w:val="1"/>
                <w:color w:val="auto"/>
              </w:rPr>
            </w:pP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cash provided by financing activities</w:t>
            </w:r>
          </w:p>
        </w:tc>
        <w:tc>
          <w:tcPr>
            <w:tcW w:w="3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71,383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44,516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65,104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272,642</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85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2021-08-31T05:23:33Z</dcterms:created>
  <dcterms:modified xsi:type="dcterms:W3CDTF">2021-08-31T05:23:33Z</dcterms:modified>
</cp:coreProperties>
</file>