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ZOOM VIDEO COMMUNICATIONS-A</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98980L101</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2022</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Statement)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left="540" w:right="8019" w:hanging="532"/>
        <w:spacing w:after="0" w:line="279"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172"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52-0556948</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320" w:right="6019" w:hanging="312"/>
        <w:spacing w:after="0" w:line="235"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646,920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w w:val="96"/>
              </w:rPr>
              <w:t>2,050,503</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4"/>
          <w:szCs w:val="24"/>
          <w:color w:val="auto"/>
        </w:rPr>
      </w:pPr>
    </w:p>
    <w:p>
      <w:pPr>
        <w:ind w:left="320" w:right="3499" w:hanging="312"/>
        <w:spacing w:after="0" w:line="235"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2,050,503</w:t>
      </w:r>
    </w:p>
    <w:p>
      <w:pPr>
        <w:spacing w:after="0" w:line="208"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860"/>
        <w:spacing w:after="0" w:line="238" w:lineRule="auto"/>
        <w:rPr>
          <w:sz w:val="20"/>
          <w:szCs w:val="20"/>
          <w:color w:val="auto"/>
        </w:rPr>
      </w:pPr>
      <w:r>
        <w:rPr>
          <w:rFonts w:ascii="Courier New" w:cs="Courier New" w:eastAsia="Courier New" w:hAnsi="Courier New"/>
          <w:sz w:val="18"/>
          <w:szCs w:val="18"/>
          <w:color w:val="auto"/>
        </w:rPr>
        <w:t>0.8%</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ZOOM VIDEO COMMUNICATIONS-A</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55 ALMADEN BOULEVARD, 6TH FLOOR, SAN JOSE, CALIFORNIA 95113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238" w:lineRule="auto"/>
        <w:rPr>
          <w:sz w:val="20"/>
          <w:szCs w:val="20"/>
          <w:color w:val="auto"/>
        </w:rPr>
      </w:pPr>
      <w:r>
        <w:rPr>
          <w:rFonts w:ascii="Courier New" w:cs="Courier New" w:eastAsia="Courier New" w:hAnsi="Courier New"/>
          <w:sz w:val="18"/>
          <w:szCs w:val="18"/>
          <w:color w:val="auto"/>
        </w:rPr>
        <w:t>(1) T. ROWE PRICE ASSOCIATES, INC. (Price Associates)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238" w:lineRule="auto"/>
        <w:rPr>
          <w:sz w:val="20"/>
          <w:szCs w:val="20"/>
          <w:color w:val="auto"/>
        </w:rPr>
      </w:pPr>
      <w:r>
        <w:rPr>
          <w:rFonts w:ascii="Courier New" w:cs="Courier New" w:eastAsia="Courier New" w:hAnsi="Courier New"/>
          <w:sz w:val="18"/>
          <w:szCs w:val="18"/>
          <w:color w:val="auto"/>
        </w:rPr>
        <w:t>100 E. Pratt Street, Baltimore, MD 21202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238" w:lineRule="auto"/>
        <w:rPr>
          <w:sz w:val="20"/>
          <w:szCs w:val="20"/>
          <w:color w:val="auto"/>
        </w:rPr>
      </w:pPr>
      <w:r>
        <w:rPr>
          <w:rFonts w:ascii="Courier New" w:cs="Courier New" w:eastAsia="Courier New" w:hAnsi="Courier New"/>
          <w:sz w:val="18"/>
          <w:szCs w:val="18"/>
          <w:color w:val="auto"/>
        </w:rPr>
        <w:t>(1) Maryland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ectPr>
          <w:pgSz w:w="11900" w:h="16848" w:orient="portrait"/>
          <w:cols w:equalWidth="0" w:num="1">
            <w:col w:w="10139"/>
          </w:cols>
          <w:pgMar w:left="32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2(e) Cusip Number: 98980L101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4" w:lineRule="exact"/>
        <w:rPr>
          <w:sz w:val="20"/>
          <w:szCs w:val="20"/>
          <w:color w:val="auto"/>
        </w:rPr>
      </w:pPr>
    </w:p>
    <w:p>
      <w:pPr>
        <w:ind w:left="420" w:right="2859" w:hanging="412"/>
        <w:spacing w:after="0" w:line="235"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208" w:lineRule="exact"/>
        <w:rPr>
          <w:sz w:val="20"/>
          <w:szCs w:val="20"/>
          <w:color w:val="auto"/>
        </w:rPr>
      </w:pPr>
    </w:p>
    <w:p>
      <w:pPr>
        <w:ind w:left="860" w:right="2759" w:hanging="841"/>
        <w:spacing w:after="0" w:line="235"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4" w:lineRule="exact"/>
        <w:rPr>
          <w:sz w:val="20"/>
          <w:szCs w:val="20"/>
          <w:color w:val="auto"/>
        </w:rPr>
      </w:pPr>
    </w:p>
    <w:p>
      <w:pPr>
        <w:ind w:left="860" w:right="1919"/>
        <w:spacing w:after="0" w:line="279" w:lineRule="auto"/>
        <w:rPr>
          <w:sz w:val="20"/>
          <w:szCs w:val="20"/>
          <w:color w:val="auto"/>
        </w:rPr>
      </w:pPr>
      <w:r>
        <w:rPr>
          <w:rFonts w:ascii="Courier New" w:cs="Courier New" w:eastAsia="Courier New" w:hAnsi="Courier New"/>
          <w:sz w:val="16"/>
          <w:szCs w:val="16"/>
          <w:color w:val="auto"/>
        </w:rPr>
        <w:t>This statement is being filed to report the fact that, as of the date of this report, the reporting person(s) has (have) ceased to be the beneficial owner of more than five percent of the class of securities.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does not serve as custodian</w:t>
      </w:r>
    </w:p>
    <w:p>
      <w:pPr>
        <w:spacing w:after="0" w:line="4" w:lineRule="exact"/>
        <w:rPr>
          <w:rFonts w:ascii="Courier New" w:cs="Courier New" w:eastAsia="Courier New" w:hAnsi="Courier New"/>
          <w:sz w:val="18"/>
          <w:szCs w:val="18"/>
          <w:color w:val="auto"/>
        </w:rPr>
      </w:pPr>
    </w:p>
    <w:p>
      <w:pPr>
        <w:ind w:left="860" w:right="3079"/>
        <w:spacing w:after="0" w:line="275"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of the assets of any of its clients; accordingly, in each instance only the client or the client's custodian or trustee bank has the right to receive dividends paid with respect to, and proceeds from the sale of, such securities.</w:t>
      </w:r>
    </w:p>
    <w:p>
      <w:pPr>
        <w:spacing w:after="0" w:line="181" w:lineRule="exact"/>
        <w:rPr>
          <w:rFonts w:ascii="Courier New" w:cs="Courier New" w:eastAsia="Courier New" w:hAnsi="Courier New"/>
          <w:sz w:val="18"/>
          <w:szCs w:val="18"/>
          <w:color w:val="auto"/>
        </w:rPr>
      </w:pPr>
    </w:p>
    <w:p>
      <w:pPr>
        <w:ind w:left="860" w:right="233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ultimate power to direct the receipt of dividends paid with respect to, and the proceeds from the sale of, such securities, is vested in the individual and institutional clients which</w:t>
      </w:r>
    </w:p>
    <w:p>
      <w:pPr>
        <w:spacing w:after="0" w:line="1"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serves as investment adviser.</w:t>
      </w:r>
    </w:p>
    <w:p>
      <w:pPr>
        <w:spacing w:after="0" w:line="4" w:lineRule="exact"/>
        <w:rPr>
          <w:rFonts w:ascii="Courier New" w:cs="Courier New" w:eastAsia="Courier New" w:hAnsi="Courier New"/>
          <w:sz w:val="18"/>
          <w:szCs w:val="18"/>
          <w:color w:val="auto"/>
        </w:rPr>
      </w:pPr>
    </w:p>
    <w:p>
      <w:pPr>
        <w:ind w:left="860" w:right="26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Any and all discretionary authority which has been delegated to Price Associates may be revoked</w:t>
      </w:r>
    </w:p>
    <w:p>
      <w:pPr>
        <w:spacing w:after="0" w:line="1"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whole or in part at any time.</w:t>
      </w:r>
    </w:p>
    <w:p>
      <w:pPr>
        <w:spacing w:after="0" w:line="207" w:lineRule="exact"/>
        <w:rPr>
          <w:rFonts w:ascii="Courier New" w:cs="Courier New" w:eastAsia="Courier New" w:hAnsi="Courier New"/>
          <w:sz w:val="18"/>
          <w:szCs w:val="18"/>
          <w:color w:val="auto"/>
        </w:rPr>
      </w:pPr>
    </w:p>
    <w:p>
      <w:pPr>
        <w:ind w:left="860" w:right="21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may be indicated if this is a joint filing with one of the registered investment companies sponsored by</w:t>
      </w:r>
    </w:p>
    <w:p>
      <w:pPr>
        <w:spacing w:after="0" w:line="1"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which it also serves as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("T. Rowe Price Funds"), not more</w:t>
      </w:r>
    </w:p>
    <w:p>
      <w:pPr>
        <w:spacing w:after="0" w:line="4" w:lineRule="exact"/>
        <w:rPr>
          <w:rFonts w:ascii="Courier New" w:cs="Courier New" w:eastAsia="Courier New" w:hAnsi="Courier New"/>
          <w:sz w:val="18"/>
          <w:szCs w:val="18"/>
          <w:color w:val="auto"/>
        </w:rPr>
      </w:pPr>
    </w:p>
    <w:p>
      <w:pPr>
        <w:ind w:left="860" w:right="23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than 5% of the class of such securities is owned by any one client subject to the investment advice of Price Associates.</w:t>
      </w:r>
    </w:p>
    <w:p>
      <w:pPr>
        <w:spacing w:after="0" w:line="208" w:lineRule="exact"/>
        <w:rPr>
          <w:rFonts w:ascii="Courier New" w:cs="Courier New" w:eastAsia="Courier New" w:hAnsi="Courier New"/>
          <w:sz w:val="18"/>
          <w:szCs w:val="18"/>
          <w:color w:val="auto"/>
        </w:rPr>
      </w:pPr>
    </w:p>
    <w:p>
      <w:pPr>
        <w:ind w:left="860" w:right="1919" w:hanging="852"/>
        <w:spacing w:after="0" w:line="237"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securities owned by any one of the T. Rowe Price Funds, only the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09" w:lineRule="exact"/>
        <w:rPr>
          <w:sz w:val="20"/>
          <w:szCs w:val="20"/>
          <w:color w:val="auto"/>
        </w:rPr>
      </w:pPr>
    </w:p>
    <w:p>
      <w:pPr>
        <w:ind w:left="860" w:right="1919" w:hanging="841"/>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860" w:right="3279" w:hanging="841"/>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4" w:lineRule="exact"/>
        <w:rPr>
          <w:sz w:val="20"/>
          <w:szCs w:val="20"/>
          <w:color w:val="auto"/>
        </w:rPr>
      </w:pPr>
    </w:p>
    <w:p>
      <w:pPr>
        <w:ind w:left="960" w:right="20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 Rowe Price Associates, Inc. hereby declares and affirms</w:t>
      </w:r>
    </w:p>
    <w:p>
      <w:pPr>
        <w:spacing w:after="0" w:line="4" w:lineRule="exact"/>
        <w:rPr>
          <w:sz w:val="20"/>
          <w:szCs w:val="20"/>
          <w:color w:val="auto"/>
        </w:rPr>
      </w:pPr>
    </w:p>
    <w:p>
      <w:pPr>
        <w:ind w:left="960" w:right="1819"/>
        <w:spacing w:after="0" w:line="235" w:lineRule="auto"/>
        <w:rPr>
          <w:sz w:val="20"/>
          <w:szCs w:val="20"/>
          <w:color w:val="auto"/>
        </w:rPr>
      </w:pPr>
      <w:r>
        <w:rPr>
          <w:rFonts w:ascii="Courier New" w:cs="Courier New" w:eastAsia="Courier New" w:hAnsi="Courier New"/>
          <w:sz w:val="18"/>
          <w:szCs w:val="18"/>
          <w:color w:val="auto"/>
        </w:rPr>
        <w:t>that the filing of Schedule 13G shall not be construed as an admission that Price Associates is the beneficial owner of the</w:t>
      </w:r>
    </w:p>
    <w:p>
      <w:pPr>
        <w:spacing w:after="0" w:line="6" w:lineRule="exact"/>
        <w:rPr>
          <w:sz w:val="20"/>
          <w:szCs w:val="20"/>
          <w:color w:val="auto"/>
        </w:rPr>
      </w:pPr>
    </w:p>
    <w:p>
      <w:pPr>
        <w:ind w:left="960" w:right="2559"/>
        <w:spacing w:after="0" w:line="235" w:lineRule="auto"/>
        <w:rPr>
          <w:sz w:val="20"/>
          <w:szCs w:val="20"/>
          <w:color w:val="auto"/>
        </w:rPr>
      </w:pPr>
      <w:r>
        <w:rPr>
          <w:rFonts w:ascii="Courier New" w:cs="Courier New" w:eastAsia="Courier New" w:hAnsi="Courier New"/>
          <w:sz w:val="18"/>
          <w:szCs w:val="18"/>
          <w:color w:val="auto"/>
        </w:rPr>
        <w:t>securities referred to, which beneficial ownership is expressly denied.</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left="960" w:right="20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ASSOCIATES, INC.</w:t>
      </w:r>
    </w:p>
    <w:p>
      <w:pPr>
        <w:spacing w:after="0" w:line="238" w:lineRule="auto"/>
        <w:rPr>
          <w:sz w:val="20"/>
          <w:szCs w:val="20"/>
          <w:color w:val="auto"/>
        </w:rPr>
      </w:pPr>
      <w:r>
        <w:rPr>
          <w:rFonts w:ascii="Courier New" w:cs="Courier New" w:eastAsia="Courier New" w:hAnsi="Courier New"/>
          <w:sz w:val="18"/>
          <w:szCs w:val="18"/>
          <w:color w:val="auto"/>
        </w:rPr>
        <w:t>Date: February 14, 2023</w:t>
      </w:r>
    </w:p>
    <w:p>
      <w:pPr>
        <w:spacing w:after="0" w:line="238" w:lineRule="auto"/>
        <w:rPr>
          <w:sz w:val="20"/>
          <w:szCs w:val="20"/>
          <w:color w:val="auto"/>
        </w:rPr>
      </w:pPr>
      <w:r>
        <w:rPr>
          <w:rFonts w:ascii="Courier New" w:cs="Courier New" w:eastAsia="Courier New" w:hAnsi="Courier New"/>
          <w:sz w:val="18"/>
          <w:szCs w:val="18"/>
          <w:color w:val="auto"/>
        </w:rPr>
        <w:t>Signature: /s/ David Oestreicher</w:t>
      </w:r>
    </w:p>
    <w:p>
      <w:pPr>
        <w:spacing w:after="0"/>
        <w:rPr>
          <w:sz w:val="20"/>
          <w:szCs w:val="20"/>
          <w:color w:val="auto"/>
        </w:rPr>
      </w:pPr>
      <w:r>
        <w:rPr>
          <w:rFonts w:ascii="Courier New" w:cs="Courier New" w:eastAsia="Courier New" w:hAnsi="Courier New"/>
          <w:sz w:val="18"/>
          <w:szCs w:val="18"/>
          <w:color w:val="auto"/>
        </w:rPr>
        <w:t>Name &amp; Title: David Oestreicher, Executive Vice President</w:t>
      </w:r>
    </w:p>
    <w:p>
      <w:pPr>
        <w:sectPr>
          <w:pgSz w:w="11900" w:h="16838" w:orient="portrait"/>
          <w:cols w:equalWidth="0" w:num="1">
            <w:col w:w="10139"/>
          </w:cols>
          <w:pgMar w:left="320" w:top="339" w:right="1440" w:bottom="138"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12/31/2022</w:t>
      </w:r>
    </w:p>
    <w:sectPr>
      <w:pgSz w:w="11900" w:h="16838" w:orient="portrait"/>
      <w:cols w:equalWidth="0" w:num="1">
        <w:col w:w="10139"/>
      </w:cols>
      <w:pgMar w:left="32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10"/>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9"/>
    </w:lvl>
  </w:abstractNum>
  <w:abstractNum w:abstractNumId="3">
    <w:nsid w:val="46E87CCD"/>
    <w:multiLevelType w:val="hybridMultilevel"/>
    <w:lvl w:ilvl="0">
      <w:lvlJc w:val="left"/>
      <w:lvlText w:val="%1."/>
      <w:numFmt w:val="decimal"/>
      <w:start w:val="12"/>
    </w:lvl>
  </w:abstractNum>
  <w:abstractNum w:abstractNumId="4">
    <w:nsid w:val="3D1B58BA"/>
    <w:multiLevelType w:val="hybridMultilevel"/>
    <w:lvl w:ilvl="0">
      <w:lvlJc w:val="left"/>
      <w:lvlText w:val="X"/>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2023-02-14T11:48:41Z</dcterms:created>
  <dcterms:modified xsi:type="dcterms:W3CDTF">2023-02-14T11:48:41Z</dcterms:modified>
</cp:coreProperties>
</file>