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81915</wp:posOffset>
            </wp:positionV>
            <wp:extent cx="185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5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81915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1"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right="6379" w:firstLine="5"/>
        <w:spacing w:after="0" w:line="281" w:lineRule="exact"/>
        <w:tabs>
          <w:tab w:leader="none" w:pos="41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87" w:lineRule="exact"/>
        <w:rPr>
          <w:sz w:val="24"/>
          <w:szCs w:val="24"/>
          <w:color w:val="auto"/>
        </w:rPr>
      </w:pPr>
    </w:p>
    <w:p>
      <w:pPr>
        <w:ind w:left="420" w:hanging="415"/>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134620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38"/>
          <w:szCs w:val="38"/>
          <w:b w:val="1"/>
          <w:bCs w:val="1"/>
          <w:color w:val="auto"/>
        </w:rPr>
        <w:t>Zoom Video Communications, Inc.</w:t>
      </w:r>
    </w:p>
    <w:p>
      <w:pPr>
        <w:spacing w:after="0" w:line="80"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81915</wp:posOffset>
            </wp:positionV>
            <wp:extent cx="2263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44"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200" w:lineRule="exact"/>
        <w:rPr>
          <w:sz w:val="24"/>
          <w:szCs w:val="24"/>
          <w:color w:val="auto"/>
        </w:rPr>
      </w:pPr>
    </w:p>
    <w:p>
      <w:pPr>
        <w:spacing w:after="0" w:line="21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w:t>
      </w:r>
    </w:p>
    <w:p>
      <w:pPr>
        <w:spacing w:after="0" w:line="17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all boxes that apply):</w:t>
      </w:r>
    </w:p>
    <w:p>
      <w:pPr>
        <w:spacing w:after="0" w:line="185" w:lineRule="exact"/>
        <w:rPr>
          <w:sz w:val="24"/>
          <w:szCs w:val="24"/>
          <w:color w:val="auto"/>
        </w:rPr>
      </w:pPr>
    </w:p>
    <w:p>
      <w:pPr>
        <w:ind w:left="520" w:hanging="413"/>
        <w:spacing w:after="0"/>
        <w:tabs>
          <w:tab w:leader="none" w:pos="5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20" w:hanging="413"/>
        <w:spacing w:after="0"/>
        <w:tabs>
          <w:tab w:leader="none" w:pos="5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2" w:lineRule="exact"/>
        <w:rPr>
          <w:rFonts w:ascii="MS PGothic" w:cs="MS PGothic" w:eastAsia="MS PGothic" w:hAnsi="MS PGothic"/>
          <w:sz w:val="18"/>
          <w:szCs w:val="18"/>
          <w:color w:val="auto"/>
        </w:rPr>
      </w:pPr>
    </w:p>
    <w:p>
      <w:pPr>
        <w:ind w:left="520" w:hanging="413"/>
        <w:spacing w:after="0"/>
        <w:tabs>
          <w:tab w:leader="none" w:pos="520" w:val="left"/>
        </w:tabs>
        <w:numPr>
          <w:ilvl w:val="0"/>
          <w:numId w:val="5"/>
        </w:numPr>
        <w:rPr>
          <w:rFonts w:ascii="MS PGothic" w:cs="MS PGothic" w:eastAsia="MS PGothic" w:hAnsi="MS PGothic"/>
          <w:sz w:val="32"/>
          <w:szCs w:val="32"/>
          <w:color w:val="auto"/>
          <w:vertAlign w:val="superscript"/>
        </w:rPr>
      </w:pPr>
      <w:r>
        <w:rPr>
          <w:rFonts w:ascii="Arial" w:cs="Arial" w:eastAsia="Arial" w:hAnsi="Arial"/>
          <w:sz w:val="16"/>
          <w:szCs w:val="16"/>
          <w:color w:val="auto"/>
        </w:rPr>
        <w:t>Fee computed on table in exhibit required by Item 25(b) per Exchange Act Rules 14a-6(i) and 0-11.</w:t>
      </w:r>
    </w:p>
    <w:p>
      <w:pPr>
        <w:sectPr>
          <w:pgSz w:w="11900" w:h="16838" w:orient="portrait"/>
          <w:cols w:equalWidth="0" w:num="1">
            <w:col w:w="9079"/>
          </w:cols>
          <w:pgMar w:left="1380" w:top="81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19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rPr>
          <w:sz w:val="20"/>
          <w:szCs w:val="20"/>
          <w:color w:val="auto"/>
        </w:rPr>
      </w:pPr>
      <w:r>
        <w:rPr>
          <w:rFonts w:ascii="Arial" w:cs="Arial" w:eastAsia="Arial" w:hAnsi="Arial"/>
          <w:sz w:val="18"/>
          <w:szCs w:val="18"/>
          <w:b w:val="1"/>
          <w:bCs w:val="1"/>
          <w:color w:val="auto"/>
        </w:rPr>
        <w:t>SAN JOSE, CALIFORNIA 95113</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THURSDAY, JUNE 16,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Zoom Video Communications, Inc.:</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cordially invite you to attend the 2022 annual meeting of stockholders (the “Annual Meeting”) of Zoom Video Communications, Inc., a Delaware corporation, which will be held as a virtual meeting on </w:t>
      </w:r>
      <w:r>
        <w:rPr>
          <w:rFonts w:ascii="Arial" w:cs="Arial" w:eastAsia="Arial" w:hAnsi="Arial"/>
          <w:sz w:val="18"/>
          <w:szCs w:val="18"/>
          <w:b w:val="1"/>
          <w:bCs w:val="1"/>
          <w:color w:val="auto"/>
        </w:rPr>
        <w:t>Thursday, June 16, 2022 at 10:00 a.m. Pacific Time</w:t>
      </w:r>
      <w:r>
        <w:rPr>
          <w:rFonts w:ascii="Arial" w:cs="Arial" w:eastAsia="Arial" w:hAnsi="Arial"/>
          <w:sz w:val="18"/>
          <w:szCs w:val="18"/>
          <w:color w:val="auto"/>
        </w:rPr>
        <w:t>. You can attend the Annual Meeting via a live interactive webcast on the internet at www.virtualshareholdermeeting.com/ZM2022 where you will be able to view the meeting live, submit questions (before and during the meeting) and vote online.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19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four nominees for Class III directors named in the accompanying proxy statement to serve until the 2025 annual meeting of stockholders and until their successors are duly elected and qualified;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our fiscal year ending January 31, 2023;</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solicit an advisory vote to approve the compensation of our named executive officers;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that may properly come before the Annual Meeting or any adjournments or postponements thereof.</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fixed the close of business on April 18, 2022 as the record date for the Annual Meeting (the “Record Date”). Only stockholders of record on April 18, 2022 are entitled to notice of and to vote at the Annual Meeting. Further information regarding voting rights and the matters to be voted upon is presented in the accompanying proxy statement.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about May 6, 2022,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15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continued support of Zoom.</w:t>
      </w:r>
    </w:p>
    <w:p>
      <w:pPr>
        <w:spacing w:after="0" w:line="210"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By order</w:t>
      </w:r>
    </w:p>
    <w:p>
      <w:pPr>
        <w:jc w:val="center"/>
        <w:ind w:right="280"/>
        <w:spacing w:after="0"/>
        <w:rPr>
          <w:sz w:val="20"/>
          <w:szCs w:val="20"/>
          <w:color w:val="auto"/>
        </w:rPr>
      </w:pPr>
      <w:r>
        <w:rPr>
          <w:rFonts w:ascii="Arial" w:cs="Arial" w:eastAsia="Arial" w:hAnsi="Arial"/>
          <w:sz w:val="18"/>
          <w:szCs w:val="18"/>
          <w:color w:val="auto"/>
        </w:rPr>
        <w:t>of the Board of Directors,</w:t>
      </w:r>
    </w:p>
    <w:p>
      <w:pPr>
        <w:spacing w:after="0" w:line="207"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/s/ Eric S.</w:t>
      </w:r>
    </w:p>
    <w:p>
      <w:pPr>
        <w:ind w:left="4560"/>
        <w:spacing w:after="0"/>
        <w:rPr>
          <w:sz w:val="20"/>
          <w:szCs w:val="20"/>
          <w:color w:val="auto"/>
        </w:rPr>
      </w:pPr>
      <w:r>
        <w:rPr>
          <w:rFonts w:ascii="Arial" w:cs="Arial" w:eastAsia="Arial" w:hAnsi="Arial"/>
          <w:sz w:val="18"/>
          <w:szCs w:val="18"/>
          <w:color w:val="auto"/>
        </w:rPr>
        <w:t>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4445</wp:posOffset>
            </wp:positionV>
            <wp:extent cx="3360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9100"/>
        <w:spacing w:after="0"/>
        <w:rPr>
          <w:sz w:val="20"/>
          <w:szCs w:val="20"/>
          <w:color w:val="auto"/>
        </w:rPr>
      </w:pPr>
      <w:r>
        <w:rPr>
          <w:rFonts w:ascii="Arial" w:cs="Arial" w:eastAsia="Arial" w:hAnsi="Arial"/>
          <w:sz w:val="18"/>
          <w:szCs w:val="18"/>
          <w:color w:val="auto"/>
        </w:rPr>
        <w:t>Eric S.</w:t>
      </w:r>
    </w:p>
    <w:p>
      <w:pPr>
        <w:ind w:left="4560"/>
        <w:spacing w:after="0"/>
        <w:rPr>
          <w:sz w:val="20"/>
          <w:szCs w:val="20"/>
          <w:color w:val="auto"/>
        </w:rPr>
      </w:pPr>
      <w:r>
        <w:rPr>
          <w:rFonts w:ascii="Arial" w:cs="Arial" w:eastAsia="Arial" w:hAnsi="Arial"/>
          <w:sz w:val="18"/>
          <w:szCs w:val="18"/>
          <w:color w:val="auto"/>
        </w:rPr>
        <w:t>Yuan</w:t>
      </w:r>
    </w:p>
    <w:p>
      <w:pPr>
        <w:ind w:left="9100"/>
        <w:spacing w:after="0" w:line="229" w:lineRule="auto"/>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 and Chairman of the Board</w:t>
      </w:r>
    </w:p>
    <w:p>
      <w:pPr>
        <w:spacing w:after="0" w:line="5"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San Jose,</w:t>
      </w:r>
    </w:p>
    <w:p>
      <w:pPr>
        <w:ind w:left="4560"/>
        <w:spacing w:after="0"/>
        <w:rPr>
          <w:sz w:val="20"/>
          <w:szCs w:val="20"/>
          <w:color w:val="auto"/>
        </w:rPr>
      </w:pPr>
      <w:r>
        <w:rPr>
          <w:rFonts w:ascii="Arial" w:cs="Arial" w:eastAsia="Arial" w:hAnsi="Arial"/>
          <w:sz w:val="18"/>
          <w:szCs w:val="18"/>
          <w:color w:val="auto"/>
        </w:rPr>
        <w:t>California</w:t>
      </w:r>
    </w:p>
    <w:p>
      <w:pPr>
        <w:ind w:left="9100"/>
        <w:spacing w:after="0" w:line="229" w:lineRule="auto"/>
        <w:rPr>
          <w:sz w:val="20"/>
          <w:szCs w:val="20"/>
          <w:color w:val="auto"/>
        </w:rPr>
      </w:pPr>
      <w:r>
        <w:rPr>
          <w:rFonts w:ascii="Arial" w:cs="Arial" w:eastAsia="Arial" w:hAnsi="Arial"/>
          <w:sz w:val="18"/>
          <w:szCs w:val="18"/>
          <w:color w:val="auto"/>
        </w:rPr>
        <w:t>May 6,</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2022</w:t>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gridSpan w:val="11"/>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98"/>
        </w:trPr>
        <w:tc>
          <w:tcPr>
            <w:tcW w:w="9100" w:type="dxa"/>
            <w:vAlign w:val="bottom"/>
            <w:gridSpan w:val="4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QUESTIONS AND ANSWERS ABOUT THESE PROXY MATERIALS AND VOTING</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100" w:type="dxa"/>
            <w:vAlign w:val="bottom"/>
            <w:gridSpan w:val="4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BOARD OF DIRECTORS AND CORPORATE GOVERNANCE</w:t>
              </w:r>
            </w:hyperlink>
          </w:p>
        </w:tc>
        <w:tc>
          <w:tcPr>
            <w:tcW w:w="200" w:type="dxa"/>
            <w:vAlign w:val="bottom"/>
            <w:gridSpan w:val="3"/>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8</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0000FF"/>
            </w:tcBorders>
          </w:tcPr>
          <w:p>
            <w:pPr>
              <w:spacing w:after="0"/>
              <w:rPr>
                <w:sz w:val="21"/>
                <w:szCs w:val="21"/>
                <w:color w:val="auto"/>
              </w:rPr>
            </w:pPr>
          </w:p>
        </w:tc>
        <w:tc>
          <w:tcPr>
            <w:tcW w:w="16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Nominees for Director</w:t>
              </w:r>
            </w:hyperlink>
          </w:p>
        </w:tc>
        <w:tc>
          <w:tcPr>
            <w:tcW w:w="3000" w:type="dxa"/>
            <w:vAlign w:val="bottom"/>
            <w:tcBorders>
              <w:top w:val="single" w:sz="8" w:color="0000FF"/>
            </w:tcBorders>
            <w:gridSpan w:val="25"/>
          </w:tcPr>
          <w:p>
            <w:pPr>
              <w:spacing w:after="0"/>
              <w:rPr>
                <w:sz w:val="21"/>
                <w:szCs w:val="21"/>
                <w:color w:val="auto"/>
              </w:rPr>
            </w:pPr>
          </w:p>
        </w:tc>
        <w:tc>
          <w:tcPr>
            <w:tcW w:w="434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Continuing Directors</w:t>
              </w:r>
            </w:hyperlink>
          </w:p>
        </w:tc>
        <w:tc>
          <w:tcPr>
            <w:tcW w:w="200" w:type="dxa"/>
            <w:vAlign w:val="bottom"/>
            <w:gridSpan w:val="3"/>
          </w:tcPr>
          <w:p>
            <w:pPr>
              <w:ind w:left="20"/>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10</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Director Independence</w:t>
              </w:r>
            </w:hyperlink>
          </w:p>
        </w:tc>
        <w:tc>
          <w:tcPr>
            <w:tcW w:w="200" w:type="dxa"/>
            <w:vAlign w:val="bottom"/>
            <w:gridSpan w:val="3"/>
          </w:tcPr>
          <w:p>
            <w:pPr>
              <w:ind w:left="20"/>
              <w:spacing w:after="0"/>
              <w:rPr>
                <w:rFonts w:ascii="Arial" w:cs="Arial" w:eastAsia="Arial" w:hAnsi="Arial"/>
                <w:sz w:val="17"/>
                <w:szCs w:val="17"/>
                <w:color w:val="0000FF"/>
                <w:w w:val="73"/>
              </w:rPr>
            </w:pPr>
            <w:hyperlink w:anchor="page17">
              <w:r>
                <w:rPr>
                  <w:rFonts w:ascii="Arial" w:cs="Arial" w:eastAsia="Arial" w:hAnsi="Arial"/>
                  <w:sz w:val="17"/>
                  <w:szCs w:val="17"/>
                  <w:color w:val="0000FF"/>
                  <w:w w:val="73"/>
                </w:rPr>
                <w:t>12</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0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Board Leadership Structure</w:t>
              </w:r>
            </w:hyperlink>
          </w:p>
        </w:tc>
        <w:tc>
          <w:tcPr>
            <w:tcW w:w="6940" w:type="dxa"/>
            <w:vAlign w:val="bottom"/>
            <w:gridSpan w:val="27"/>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Lead Independent Director</w:t>
              </w:r>
            </w:hyperlink>
          </w:p>
        </w:tc>
        <w:tc>
          <w:tcPr>
            <w:tcW w:w="200" w:type="dxa"/>
            <w:vAlign w:val="bottom"/>
            <w:gridSpan w:val="3"/>
          </w:tcPr>
          <w:p>
            <w:pPr>
              <w:ind w:left="20"/>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60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Board and Stockholder Meetings and Committees</w:t>
              </w:r>
            </w:hyperlink>
          </w:p>
        </w:tc>
        <w:tc>
          <w:tcPr>
            <w:tcW w:w="5340" w:type="dxa"/>
            <w:vAlign w:val="bottom"/>
            <w:gridSpan w:val="11"/>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Compensation Committee Interlocks and Insider Participation</w:t>
              </w:r>
            </w:hyperlink>
          </w:p>
        </w:tc>
        <w:tc>
          <w:tcPr>
            <w:tcW w:w="200" w:type="dxa"/>
            <w:vAlign w:val="bottom"/>
            <w:gridSpan w:val="3"/>
          </w:tcPr>
          <w:p>
            <w:pPr>
              <w:ind w:left="20"/>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16</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520" w:type="dxa"/>
            <w:vAlign w:val="bottom"/>
            <w:tcBorders>
              <w:top w:val="single" w:sz="8" w:color="0000FF"/>
              <w:bottom w:val="single" w:sz="8" w:color="0000FF"/>
            </w:tcBorders>
            <w:gridSpan w:val="26"/>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Considerations in Evaluating Director Nominees</w:t>
              </w:r>
            </w:hyperlink>
          </w:p>
        </w:tc>
        <w:tc>
          <w:tcPr>
            <w:tcW w:w="940" w:type="dxa"/>
            <w:vAlign w:val="bottom"/>
            <w:tcBorders>
              <w:top w:val="single" w:sz="8" w:color="0000FF"/>
            </w:tcBorders>
            <w:gridSpan w:val="6"/>
          </w:tcPr>
          <w:p>
            <w:pPr>
              <w:spacing w:after="0"/>
              <w:rPr>
                <w:sz w:val="21"/>
                <w:szCs w:val="21"/>
                <w:color w:val="auto"/>
              </w:rPr>
            </w:pPr>
          </w:p>
        </w:tc>
        <w:tc>
          <w:tcPr>
            <w:tcW w:w="4480" w:type="dxa"/>
            <w:vAlign w:val="bottom"/>
            <w:gridSpan w:val="7"/>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16</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340" w:type="dxa"/>
            <w:vAlign w:val="bottom"/>
            <w:tcBorders>
              <w:bottom w:val="single" w:sz="8" w:color="0000FF"/>
            </w:tcBorders>
            <w:gridSpan w:val="34"/>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Stockholder Recommendations for Nominations to the Board of Directors</w:t>
              </w:r>
            </w:hyperlink>
          </w:p>
        </w:tc>
        <w:tc>
          <w:tcPr>
            <w:tcW w:w="360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17</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26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Communications with the Board of Directors</w:t>
              </w:r>
            </w:hyperlink>
          </w:p>
        </w:tc>
        <w:tc>
          <w:tcPr>
            <w:tcW w:w="568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17</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Corporate Governance Guidelines and Code of Business Conduct and Ethics</w:t>
              </w:r>
            </w:hyperlink>
          </w:p>
        </w:tc>
        <w:tc>
          <w:tcPr>
            <w:tcW w:w="200" w:type="dxa"/>
            <w:vAlign w:val="bottom"/>
            <w:gridSpan w:val="3"/>
          </w:tcPr>
          <w:p>
            <w:pPr>
              <w:ind w:left="20"/>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17</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Risk Management</w:t>
              </w:r>
            </w:hyperlink>
          </w:p>
        </w:tc>
        <w:tc>
          <w:tcPr>
            <w:tcW w:w="4200" w:type="dxa"/>
            <w:vAlign w:val="bottom"/>
            <w:tcBorders>
              <w:top w:val="single" w:sz="8" w:color="0000FF"/>
            </w:tcBorders>
            <w:gridSpan w:val="29"/>
          </w:tcPr>
          <w:p>
            <w:pPr>
              <w:spacing w:after="0"/>
              <w:rPr>
                <w:sz w:val="21"/>
                <w:szCs w:val="21"/>
                <w:color w:val="auto"/>
              </w:rPr>
            </w:pPr>
          </w:p>
        </w:tc>
        <w:tc>
          <w:tcPr>
            <w:tcW w:w="342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18</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60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Prohibition on Hedging, Short Sales and Pledging</w:t>
              </w:r>
            </w:hyperlink>
          </w:p>
        </w:tc>
        <w:tc>
          <w:tcPr>
            <w:tcW w:w="5340" w:type="dxa"/>
            <w:vAlign w:val="bottom"/>
            <w:gridSpan w:val="11"/>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18</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Environmental, Social, and Governance</w:t>
              </w:r>
            </w:hyperlink>
          </w:p>
        </w:tc>
        <w:tc>
          <w:tcPr>
            <w:tcW w:w="6060" w:type="dxa"/>
            <w:vAlign w:val="bottom"/>
            <w:gridSpan w:val="2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19</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Non-Employee Director Compensation</w:t>
              </w:r>
            </w:hyperlink>
          </w:p>
        </w:tc>
        <w:tc>
          <w:tcPr>
            <w:tcW w:w="6100" w:type="dxa"/>
            <w:vAlign w:val="bottom"/>
            <w:gridSpan w:val="2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19</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4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PROPOSAL NO. 1 ELECTION OF DIRECTORS</w:t>
              </w:r>
            </w:hyperlink>
          </w:p>
        </w:tc>
        <w:tc>
          <w:tcPr>
            <w:tcW w:w="200" w:type="dxa"/>
            <w:vAlign w:val="bottom"/>
            <w:gridSpan w:val="3"/>
          </w:tcPr>
          <w:p>
            <w:pPr>
              <w:ind w:left="20"/>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0000FF"/>
            </w:tcBorders>
          </w:tcPr>
          <w:p>
            <w:pPr>
              <w:spacing w:after="0"/>
              <w:rPr>
                <w:sz w:val="21"/>
                <w:szCs w:val="21"/>
                <w:color w:val="auto"/>
              </w:rPr>
            </w:pPr>
          </w:p>
        </w:tc>
        <w:tc>
          <w:tcPr>
            <w:tcW w:w="7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Nominees</w:t>
              </w:r>
            </w:hyperlink>
          </w:p>
        </w:tc>
        <w:tc>
          <w:tcPr>
            <w:tcW w:w="2740" w:type="dxa"/>
            <w:vAlign w:val="bottom"/>
            <w:tcBorders>
              <w:top w:val="single" w:sz="8" w:color="0000FF"/>
            </w:tcBorders>
            <w:gridSpan w:val="21"/>
          </w:tcPr>
          <w:p>
            <w:pPr>
              <w:spacing w:after="0"/>
              <w:rPr>
                <w:sz w:val="21"/>
                <w:szCs w:val="21"/>
                <w:color w:val="auto"/>
              </w:rPr>
            </w:pPr>
          </w:p>
        </w:tc>
        <w:tc>
          <w:tcPr>
            <w:tcW w:w="5460" w:type="dxa"/>
            <w:vAlign w:val="bottom"/>
            <w:gridSpan w:val="1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Vote Required</w:t>
              </w:r>
            </w:hyperlink>
          </w:p>
        </w:tc>
        <w:tc>
          <w:tcPr>
            <w:tcW w:w="7900" w:type="dxa"/>
            <w:vAlign w:val="bottom"/>
            <w:gridSpan w:val="3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100" w:type="dxa"/>
            <w:vAlign w:val="bottom"/>
            <w:gridSpan w:val="40"/>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PROPOSAL NO. 2 RATIFICATION OF APPOINTMENT OF INDEPENDENT REGISTERED PUBLIC ACCOUNTING</w:t>
              </w:r>
            </w:hyperlink>
          </w:p>
        </w:tc>
        <w:tc>
          <w:tcPr>
            <w:tcW w:w="200" w:type="dxa"/>
            <w:vAlign w:val="bottom"/>
            <w:gridSpan w:val="3"/>
            <w:vMerge w:val="restart"/>
          </w:tcPr>
          <w:p>
            <w:pPr>
              <w:ind w:left="20"/>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24</w:t>
              </w:r>
            </w:hyperlink>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9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w:anchor="page28">
              <w:r>
                <w:rPr>
                  <w:rFonts w:ascii="Arial" w:cs="Arial" w:eastAsia="Arial" w:hAnsi="Arial"/>
                  <w:sz w:val="18"/>
                  <w:szCs w:val="18"/>
                  <w:color w:val="0000FF"/>
                </w:rPr>
                <w:t>FIRM</w:t>
              </w:r>
            </w:hyperlink>
          </w:p>
        </w:tc>
        <w:tc>
          <w:tcPr>
            <w:tcW w:w="20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Principal Accountant Fees and Services</w:t>
              </w:r>
            </w:hyperlink>
          </w:p>
        </w:tc>
        <w:tc>
          <w:tcPr>
            <w:tcW w:w="200" w:type="dxa"/>
            <w:vAlign w:val="bottom"/>
            <w:gridSpan w:val="3"/>
          </w:tcPr>
          <w:p>
            <w:pPr>
              <w:ind w:left="20"/>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24</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60" w:type="dxa"/>
            <w:vAlign w:val="bottom"/>
            <w:tcBorders>
              <w:top w:val="single" w:sz="8" w:color="0000FF"/>
            </w:tcBorders>
            <w:gridSpan w:val="1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Auditor Independence</w:t>
              </w:r>
            </w:hyperlink>
          </w:p>
        </w:tc>
        <w:tc>
          <w:tcPr>
            <w:tcW w:w="6080" w:type="dxa"/>
            <w:vAlign w:val="bottom"/>
            <w:gridSpan w:val="23"/>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tcBorders>
            <w:gridSpan w:val="2"/>
          </w:tcPr>
          <w:p>
            <w:pPr>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24</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00" w:type="dxa"/>
            <w:vAlign w:val="bottom"/>
            <w:gridSpan w:val="40"/>
          </w:tcPr>
          <w:p>
            <w:pPr>
              <w:spacing w:after="0"/>
              <w:rPr>
                <w:rFonts w:ascii="Arial" w:cs="Arial" w:eastAsia="Arial" w:hAnsi="Arial"/>
                <w:sz w:val="18"/>
                <w:szCs w:val="18"/>
                <w:color w:val="0000FF"/>
                <w:w w:val="95"/>
              </w:rPr>
            </w:pPr>
            <w:hyperlink w:anchor="page29">
              <w:r>
                <w:rPr>
                  <w:rFonts w:ascii="Arial" w:cs="Arial" w:eastAsia="Arial" w:hAnsi="Arial"/>
                  <w:sz w:val="18"/>
                  <w:szCs w:val="18"/>
                  <w:color w:val="0000FF"/>
                  <w:w w:val="95"/>
                </w:rPr>
                <w:t>Audit Committee Policy on Pre-Approval of Audit and Permissible Non-Audit Services of Independent Registered Public</w:t>
              </w:r>
            </w:hyperlink>
          </w:p>
        </w:tc>
        <w:tc>
          <w:tcPr>
            <w:tcW w:w="20" w:type="dxa"/>
            <w:vAlign w:val="bottom"/>
            <w:vMerge w:val="restart"/>
          </w:tcPr>
          <w:p>
            <w:pPr>
              <w:spacing w:after="0"/>
              <w:rPr>
                <w:sz w:val="18"/>
                <w:szCs w:val="18"/>
                <w:color w:val="auto"/>
              </w:rPr>
            </w:pPr>
          </w:p>
        </w:tc>
        <w:tc>
          <w:tcPr>
            <w:tcW w:w="180" w:type="dxa"/>
            <w:vAlign w:val="bottom"/>
            <w:gridSpan w:val="2"/>
            <w:vMerge w:val="restart"/>
          </w:tcPr>
          <w:p>
            <w:pPr>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25</w:t>
              </w:r>
            </w:hyperlink>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w:anchor="page29">
              <w:r>
                <w:rPr>
                  <w:rFonts w:ascii="Arial" w:cs="Arial" w:eastAsia="Arial" w:hAnsi="Arial"/>
                  <w:sz w:val="18"/>
                  <w:szCs w:val="18"/>
                  <w:color w:val="0000FF"/>
                  <w:w w:val="93"/>
                </w:rPr>
                <w:t>Accounting Firm</w:t>
              </w:r>
            </w:hyperlink>
          </w:p>
        </w:tc>
        <w:tc>
          <w:tcPr>
            <w:tcW w:w="7540" w:type="dxa"/>
            <w:vAlign w:val="bottom"/>
            <w:tcBorders>
              <w:top w:val="single" w:sz="8" w:color="0000FF"/>
            </w:tcBorders>
            <w:gridSpan w:val="32"/>
          </w:tcPr>
          <w:p>
            <w:pPr>
              <w:spacing w:after="0"/>
              <w:rPr>
                <w:sz w:val="13"/>
                <w:szCs w:val="13"/>
                <w:color w:val="auto"/>
              </w:rPr>
            </w:pPr>
          </w:p>
        </w:tc>
        <w:tc>
          <w:tcPr>
            <w:tcW w:w="320" w:type="dxa"/>
            <w:vAlign w:val="bottom"/>
            <w:gridSpan w:val="2"/>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Vote Required</w:t>
              </w:r>
            </w:hyperlink>
          </w:p>
        </w:tc>
        <w:tc>
          <w:tcPr>
            <w:tcW w:w="7900" w:type="dxa"/>
            <w:vAlign w:val="bottom"/>
            <w:gridSpan w:val="35"/>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25</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4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PROPOSAL NO. 3 ADVISORY VOTE ON EXECUTIVE COMPENSATION</w:t>
              </w:r>
            </w:hyperlink>
          </w:p>
        </w:tc>
        <w:tc>
          <w:tcPr>
            <w:tcW w:w="200" w:type="dxa"/>
            <w:vAlign w:val="bottom"/>
            <w:gridSpan w:val="3"/>
          </w:tcPr>
          <w:p>
            <w:pPr>
              <w:ind w:left="20"/>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26</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0000FF"/>
            </w:tcBorders>
          </w:tcPr>
          <w:p>
            <w:pPr>
              <w:spacing w:after="0"/>
              <w:rPr>
                <w:sz w:val="21"/>
                <w:szCs w:val="21"/>
                <w:color w:val="auto"/>
              </w:rPr>
            </w:pPr>
          </w:p>
        </w:tc>
        <w:tc>
          <w:tcPr>
            <w:tcW w:w="10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Vote Required</w:t>
              </w:r>
            </w:hyperlink>
          </w:p>
        </w:tc>
        <w:tc>
          <w:tcPr>
            <w:tcW w:w="4480" w:type="dxa"/>
            <w:vAlign w:val="bottom"/>
            <w:tcBorders>
              <w:top w:val="single" w:sz="8" w:color="0000FF"/>
            </w:tcBorders>
            <w:gridSpan w:val="31"/>
          </w:tcPr>
          <w:p>
            <w:pPr>
              <w:spacing w:after="0"/>
              <w:rPr>
                <w:sz w:val="21"/>
                <w:szCs w:val="21"/>
                <w:color w:val="auto"/>
              </w:rPr>
            </w:pPr>
          </w:p>
        </w:tc>
        <w:tc>
          <w:tcPr>
            <w:tcW w:w="342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26</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4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REPORT OF THE AUDIT COMMITTEE</w:t>
              </w:r>
            </w:hyperlink>
          </w:p>
        </w:tc>
        <w:tc>
          <w:tcPr>
            <w:tcW w:w="200" w:type="dxa"/>
            <w:vAlign w:val="bottom"/>
            <w:gridSpan w:val="3"/>
          </w:tcPr>
          <w:p>
            <w:pPr>
              <w:ind w:left="20"/>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27</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EXECUTIVE OFFICERS</w:t>
              </w:r>
            </w:hyperlink>
          </w:p>
        </w:tc>
        <w:tc>
          <w:tcPr>
            <w:tcW w:w="1160" w:type="dxa"/>
            <w:vAlign w:val="bottom"/>
            <w:tcBorders>
              <w:top w:val="single" w:sz="8" w:color="0000FF"/>
            </w:tcBorders>
            <w:gridSpan w:val="8"/>
          </w:tcPr>
          <w:p>
            <w:pPr>
              <w:spacing w:after="0"/>
              <w:rPr>
                <w:sz w:val="21"/>
                <w:szCs w:val="21"/>
                <w:color w:val="auto"/>
              </w:rPr>
            </w:pPr>
          </w:p>
        </w:tc>
        <w:tc>
          <w:tcPr>
            <w:tcW w:w="6040" w:type="dxa"/>
            <w:vAlign w:val="bottom"/>
            <w:gridSpan w:val="21"/>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28</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4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EXECUTIVE COMPENSATION</w:t>
              </w:r>
            </w:hyperlink>
          </w:p>
        </w:tc>
        <w:tc>
          <w:tcPr>
            <w:tcW w:w="200" w:type="dxa"/>
            <w:vAlign w:val="bottom"/>
            <w:gridSpan w:val="3"/>
          </w:tcPr>
          <w:p>
            <w:pPr>
              <w:ind w:left="20"/>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30</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8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Compensation Discussion and Analysis</w:t>
              </w:r>
            </w:hyperlink>
          </w:p>
        </w:tc>
        <w:tc>
          <w:tcPr>
            <w:tcW w:w="6080" w:type="dxa"/>
            <w:vAlign w:val="bottom"/>
            <w:gridSpan w:val="23"/>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30</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35">
              <w:r>
                <w:rPr>
                  <w:rFonts w:ascii="Arial" w:cs="Arial" w:eastAsia="Arial" w:hAnsi="Arial"/>
                  <w:sz w:val="18"/>
                  <w:szCs w:val="18"/>
                  <w:color w:val="0000FF"/>
                  <w:w w:val="86"/>
                </w:rPr>
                <w:t>Executive Summary</w:t>
              </w:r>
            </w:hyperlink>
          </w:p>
        </w:tc>
        <w:tc>
          <w:tcPr>
            <w:tcW w:w="7260" w:type="dxa"/>
            <w:vAlign w:val="bottom"/>
            <w:gridSpan w:val="30"/>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30</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780" w:type="dxa"/>
            <w:vAlign w:val="bottom"/>
            <w:gridSpan w:val="3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Advisory Vote on Executive Compensation</w:t>
              </w:r>
            </w:hyperlink>
          </w:p>
        </w:tc>
        <w:tc>
          <w:tcPr>
            <w:tcW w:w="200" w:type="dxa"/>
            <w:vAlign w:val="bottom"/>
            <w:gridSpan w:val="3"/>
          </w:tcPr>
          <w:p>
            <w:pPr>
              <w:ind w:left="20"/>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32</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Compensation Objectives and Philosophy</w:t>
              </w:r>
            </w:hyperlink>
          </w:p>
        </w:tc>
        <w:tc>
          <w:tcPr>
            <w:tcW w:w="40" w:type="dxa"/>
            <w:vAlign w:val="bottom"/>
            <w:tcBorders>
              <w:bottom w:val="single" w:sz="8" w:color="0000FF"/>
            </w:tcBorders>
          </w:tcPr>
          <w:p>
            <w:pPr>
              <w:spacing w:after="0"/>
              <w:rPr>
                <w:sz w:val="21"/>
                <w:szCs w:val="21"/>
                <w:color w:val="auto"/>
              </w:rPr>
            </w:pPr>
          </w:p>
        </w:tc>
        <w:tc>
          <w:tcPr>
            <w:tcW w:w="56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32</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tcBorders>
              <w:bottom w:val="single" w:sz="8" w:color="0000FF"/>
            </w:tcBorders>
            <w:gridSpan w:val="2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Elements of Executive Compensation</w:t>
              </w:r>
            </w:hyperlink>
          </w:p>
        </w:tc>
        <w:tc>
          <w:tcPr>
            <w:tcW w:w="56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33</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How We Determine Executive Compensation</w:t>
              </w:r>
            </w:hyperlink>
          </w:p>
        </w:tc>
        <w:tc>
          <w:tcPr>
            <w:tcW w:w="5380" w:type="dxa"/>
            <w:vAlign w:val="bottom"/>
            <w:gridSpan w:val="1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38">
              <w:r>
                <w:rPr>
                  <w:rFonts w:ascii="Arial" w:cs="Arial" w:eastAsia="Arial" w:hAnsi="Arial"/>
                  <w:sz w:val="17"/>
                  <w:szCs w:val="17"/>
                  <w:color w:val="0000FF"/>
                  <w:w w:val="73"/>
                </w:rPr>
                <w:t>34</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29"/>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Factors Used in Determining Executive Compensation</w:t>
              </w:r>
            </w:hyperlink>
          </w:p>
        </w:tc>
        <w:tc>
          <w:tcPr>
            <w:tcW w:w="464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36</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tcBorders>
              <w:bottom w:val="single" w:sz="8" w:color="0000FF"/>
            </w:tcBorders>
            <w:gridSpan w:val="25"/>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 xml:space="preserve">Fiscal </w:t>
              </w:r>
            </w:hyperlink>
            <w:r>
              <w:rPr>
                <w:rFonts w:ascii="Arial" w:cs="Arial" w:eastAsia="Arial" w:hAnsi="Arial"/>
                <w:sz w:val="18"/>
                <w:szCs w:val="18"/>
                <w:color w:val="0000FF"/>
                <w:w w:val="88"/>
              </w:rPr>
              <w:t xml:space="preserve">2022 </w:t>
            </w:r>
            <w:hyperlink w:anchor="page41">
              <w:r>
                <w:rPr>
                  <w:rFonts w:ascii="Arial" w:cs="Arial" w:eastAsia="Arial" w:hAnsi="Arial"/>
                  <w:sz w:val="18"/>
                  <w:szCs w:val="18"/>
                  <w:color w:val="0000FF"/>
                  <w:w w:val="88"/>
                </w:rPr>
                <w:t>Executive Compensation Program</w:t>
              </w:r>
            </w:hyperlink>
          </w:p>
        </w:tc>
        <w:tc>
          <w:tcPr>
            <w:tcW w:w="538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36</w:t>
              </w:r>
            </w:hyperlink>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tcBorders>
              <w:bottom w:val="single" w:sz="8" w:color="0000FF"/>
            </w:tcBorders>
            <w:gridSpan w:val="3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Preview of Equity Awards Granted in Fiscal 2023</w:t>
              </w:r>
            </w:hyperlink>
          </w:p>
        </w:tc>
        <w:tc>
          <w:tcPr>
            <w:tcW w:w="464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4">
              <w:r>
                <w:rPr>
                  <w:rFonts w:ascii="Arial" w:cs="Arial" w:eastAsia="Arial" w:hAnsi="Arial"/>
                  <w:sz w:val="17"/>
                  <w:szCs w:val="17"/>
                  <w:color w:val="0000FF"/>
                  <w:w w:val="73"/>
                </w:rPr>
                <w:t>39</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60" w:type="dxa"/>
            <w:vAlign w:val="bottom"/>
            <w:gridSpan w:val="3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Features or Our Executive Compensation Program</w:t>
              </w:r>
            </w:hyperlink>
          </w:p>
        </w:tc>
        <w:tc>
          <w:tcPr>
            <w:tcW w:w="200" w:type="dxa"/>
            <w:vAlign w:val="bottom"/>
            <w:gridSpan w:val="3"/>
          </w:tcPr>
          <w:p>
            <w:pPr>
              <w:ind w:left="20"/>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40</w:t>
              </w:r>
            </w:hyperlink>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Tax and Accounting Implications</w:t>
              </w:r>
            </w:hyperlink>
          </w:p>
        </w:tc>
        <w:tc>
          <w:tcPr>
            <w:tcW w:w="1680" w:type="dxa"/>
            <w:vAlign w:val="bottom"/>
            <w:tcBorders>
              <w:top w:val="single" w:sz="8" w:color="0000FF"/>
            </w:tcBorders>
            <w:gridSpan w:val="17"/>
          </w:tcPr>
          <w:p>
            <w:pPr>
              <w:spacing w:after="0"/>
              <w:rPr>
                <w:sz w:val="21"/>
                <w:szCs w:val="21"/>
                <w:color w:val="auto"/>
              </w:rPr>
            </w:pPr>
          </w:p>
        </w:tc>
        <w:tc>
          <w:tcPr>
            <w:tcW w:w="464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41</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tcBorders>
              <w:bottom w:val="single" w:sz="8" w:color="0000FF"/>
            </w:tcBorders>
            <w:gridSpan w:val="21"/>
          </w:tcPr>
          <w:p>
            <w:pPr>
              <w:spacing w:after="0"/>
              <w:rPr>
                <w:rFonts w:ascii="Arial" w:cs="Arial" w:eastAsia="Arial" w:hAnsi="Arial"/>
                <w:sz w:val="18"/>
                <w:szCs w:val="18"/>
                <w:color w:val="0000FF"/>
                <w:w w:val="86"/>
              </w:rPr>
            </w:pPr>
            <w:hyperlink w:anchor="page47">
              <w:r>
                <w:rPr>
                  <w:rFonts w:ascii="Arial" w:cs="Arial" w:eastAsia="Arial" w:hAnsi="Arial"/>
                  <w:sz w:val="18"/>
                  <w:szCs w:val="18"/>
                  <w:color w:val="0000FF"/>
                  <w:w w:val="86"/>
                </w:rPr>
                <w:t>Other Compensation Policies and Practices</w:t>
              </w:r>
            </w:hyperlink>
          </w:p>
        </w:tc>
        <w:tc>
          <w:tcPr>
            <w:tcW w:w="56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42</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100" w:top="1309" w:right="109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700"/>
          </w:cols>
          <w:pgMar w:left="1100" w:top="1309" w:right="10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Compensation Risk Assessment</w:t>
              </w:r>
            </w:hyperlink>
          </w:p>
        </w:tc>
        <w:tc>
          <w:tcPr>
            <w:tcW w:w="6440" w:type="dxa"/>
            <w:vAlign w:val="bottom"/>
            <w:gridSpan w:val="11"/>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43</w:t>
              </w:r>
            </w:hyperlink>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Compensation Committee Report</w:t>
              </w:r>
            </w:hyperlink>
          </w:p>
        </w:tc>
        <w:tc>
          <w:tcPr>
            <w:tcW w:w="180" w:type="dxa"/>
            <w:vAlign w:val="bottom"/>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43</w:t>
              </w:r>
            </w:hyperlink>
          </w:p>
        </w:tc>
      </w:tr>
      <w:tr>
        <w:trPr>
          <w:trHeight w:val="20"/>
        </w:trPr>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Summary Compensation Table for Fiscal Year 202</w:t>
              </w:r>
            </w:hyperlink>
            <w:r>
              <w:rPr>
                <w:rFonts w:ascii="Arial" w:cs="Arial" w:eastAsia="Arial" w:hAnsi="Arial"/>
                <w:sz w:val="18"/>
                <w:szCs w:val="18"/>
                <w:color w:val="000000"/>
              </w:rPr>
              <w:t>2</w:t>
            </w:r>
          </w:p>
        </w:tc>
        <w:tc>
          <w:tcPr>
            <w:tcW w:w="180" w:type="dxa"/>
            <w:vAlign w:val="bottom"/>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43</w:t>
              </w:r>
            </w:hyperlink>
          </w:p>
        </w:tc>
      </w:tr>
      <w:tr>
        <w:trPr>
          <w:trHeight w:val="250"/>
        </w:trPr>
        <w:tc>
          <w:tcPr>
            <w:tcW w:w="160" w:type="dxa"/>
            <w:vAlign w:val="bottom"/>
          </w:tcPr>
          <w:p>
            <w:pPr>
              <w:spacing w:after="0"/>
              <w:rPr>
                <w:sz w:val="21"/>
                <w:szCs w:val="21"/>
                <w:color w:val="auto"/>
              </w:rPr>
            </w:pPr>
          </w:p>
        </w:tc>
        <w:tc>
          <w:tcPr>
            <w:tcW w:w="21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Grants of Plan-Based Awards</w:t>
              </w:r>
            </w:hyperlink>
          </w:p>
        </w:tc>
        <w:tc>
          <w:tcPr>
            <w:tcW w:w="1520" w:type="dxa"/>
            <w:vAlign w:val="bottom"/>
            <w:tcBorders>
              <w:top w:val="single" w:sz="8" w:color="0000FF"/>
            </w:tcBorders>
            <w:gridSpan w:val="5"/>
          </w:tcPr>
          <w:p>
            <w:pPr>
              <w:spacing w:after="0"/>
              <w:rPr>
                <w:sz w:val="21"/>
                <w:szCs w:val="21"/>
                <w:color w:val="auto"/>
              </w:rPr>
            </w:pPr>
          </w:p>
        </w:tc>
        <w:tc>
          <w:tcPr>
            <w:tcW w:w="5300" w:type="dxa"/>
            <w:vAlign w:val="bottom"/>
            <w:gridSpan w:val="8"/>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44</w:t>
              </w:r>
            </w:hyperlink>
          </w:p>
        </w:tc>
      </w:tr>
      <w:tr>
        <w:trPr>
          <w:trHeight w:val="250"/>
        </w:trPr>
        <w:tc>
          <w:tcPr>
            <w:tcW w:w="160" w:type="dxa"/>
            <w:vAlign w:val="bottom"/>
          </w:tcPr>
          <w:p>
            <w:pPr>
              <w:spacing w:after="0"/>
              <w:rPr>
                <w:sz w:val="21"/>
                <w:szCs w:val="21"/>
                <w:color w:val="auto"/>
              </w:rPr>
            </w:pPr>
          </w:p>
        </w:tc>
        <w:tc>
          <w:tcPr>
            <w:tcW w:w="37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 xml:space="preserve">Outstanding Equity Awards at </w:t>
              </w:r>
            </w:hyperlink>
            <w:r>
              <w:rPr>
                <w:rFonts w:ascii="Arial" w:cs="Arial" w:eastAsia="Arial" w:hAnsi="Arial"/>
                <w:sz w:val="18"/>
                <w:szCs w:val="18"/>
                <w:color w:val="0000FF"/>
                <w:w w:val="90"/>
              </w:rPr>
              <w:t xml:space="preserve">2022 </w:t>
            </w:r>
            <w:hyperlink w:anchor="page49">
              <w:r>
                <w:rPr>
                  <w:rFonts w:ascii="Arial" w:cs="Arial" w:eastAsia="Arial" w:hAnsi="Arial"/>
                  <w:sz w:val="18"/>
                  <w:szCs w:val="18"/>
                  <w:color w:val="0000FF"/>
                  <w:w w:val="90"/>
                </w:rPr>
                <w:t>Fiscal Year-End</w:t>
              </w:r>
            </w:hyperlink>
          </w:p>
        </w:tc>
        <w:tc>
          <w:tcPr>
            <w:tcW w:w="518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44</w:t>
              </w:r>
            </w:hyperlink>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Option Exercises and Stock Vested</w:t>
              </w:r>
            </w:hyperlink>
          </w:p>
        </w:tc>
        <w:tc>
          <w:tcPr>
            <w:tcW w:w="180" w:type="dxa"/>
            <w:vAlign w:val="bottom"/>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46</w:t>
              </w:r>
            </w:hyperlink>
          </w:p>
        </w:tc>
      </w:tr>
      <w:tr>
        <w:trPr>
          <w:trHeight w:val="20"/>
        </w:trPr>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3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Employment, Severance and Change in Control Agreements</w:t>
              </w:r>
            </w:hyperlink>
          </w:p>
        </w:tc>
        <w:tc>
          <w:tcPr>
            <w:tcW w:w="460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47</w:t>
              </w:r>
            </w:hyperlink>
          </w:p>
        </w:tc>
      </w:tr>
      <w:tr>
        <w:trPr>
          <w:trHeight w:val="250"/>
        </w:trPr>
        <w:tc>
          <w:tcPr>
            <w:tcW w:w="160" w:type="dxa"/>
            <w:vAlign w:val="bottom"/>
          </w:tcPr>
          <w:p>
            <w:pPr>
              <w:spacing w:after="0"/>
              <w:rPr>
                <w:sz w:val="21"/>
                <w:szCs w:val="21"/>
                <w:color w:val="auto"/>
              </w:rPr>
            </w:pPr>
          </w:p>
        </w:tc>
        <w:tc>
          <w:tcPr>
            <w:tcW w:w="43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Potential Payments upon Termination or Change of Control</w:t>
              </w:r>
            </w:hyperlink>
          </w:p>
        </w:tc>
        <w:tc>
          <w:tcPr>
            <w:tcW w:w="466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47</w:t>
              </w:r>
            </w:hyperlink>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Pay Ratio</w:t>
              </w:r>
            </w:hyperlink>
          </w:p>
        </w:tc>
        <w:tc>
          <w:tcPr>
            <w:tcW w:w="180" w:type="dxa"/>
            <w:vAlign w:val="bottom"/>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48</w:t>
              </w:r>
            </w:hyperlink>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Equity Plans</w:t>
              </w:r>
            </w:hyperlink>
          </w:p>
        </w:tc>
        <w:tc>
          <w:tcPr>
            <w:tcW w:w="8040" w:type="dxa"/>
            <w:vAlign w:val="bottom"/>
            <w:gridSpan w:val="17"/>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48</w:t>
              </w:r>
            </w:hyperlink>
          </w:p>
        </w:tc>
      </w:tr>
      <w:tr>
        <w:trPr>
          <w:trHeight w:val="250"/>
        </w:trPr>
        <w:tc>
          <w:tcPr>
            <w:tcW w:w="9120" w:type="dxa"/>
            <w:vAlign w:val="bottom"/>
            <w:gridSpan w:val="21"/>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EQUITY COMPENSATION PLAN INFORMATION</w:t>
              </w:r>
            </w:hyperlink>
          </w:p>
        </w:tc>
        <w:tc>
          <w:tcPr>
            <w:tcW w:w="180" w:type="dxa"/>
            <w:vAlign w:val="bottom"/>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53</w:t>
              </w:r>
            </w:hyperlink>
          </w:p>
        </w:tc>
      </w:tr>
      <w:tr>
        <w:trPr>
          <w:trHeight w:val="20"/>
        </w:trPr>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9120" w:type="dxa"/>
            <w:vAlign w:val="bottom"/>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SECURITY OWNERSHIP OF CERTAIN BENEFICIAL OWNERS AND MANAGEMENT</w:t>
              </w:r>
            </w:hyperlink>
          </w:p>
        </w:tc>
        <w:tc>
          <w:tcPr>
            <w:tcW w:w="180" w:type="dxa"/>
            <w:vAlign w:val="bottom"/>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54</w:t>
              </w:r>
            </w:hyperlink>
          </w:p>
        </w:tc>
      </w:tr>
      <w:tr>
        <w:trPr>
          <w:trHeight w:val="250"/>
        </w:trPr>
        <w:tc>
          <w:tcPr>
            <w:tcW w:w="560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CERTAIN RELATIONSHIPS AND RELATED PERSON TRANSACTIONS</w:t>
              </w:r>
            </w:hyperlink>
          </w:p>
        </w:tc>
        <w:tc>
          <w:tcPr>
            <w:tcW w:w="1120" w:type="dxa"/>
            <w:vAlign w:val="bottom"/>
            <w:tcBorders>
              <w:top w:val="single" w:sz="8" w:color="0000FF"/>
            </w:tcBorders>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58</w:t>
              </w:r>
            </w:hyperlink>
          </w:p>
        </w:tc>
      </w:tr>
      <w:tr>
        <w:trPr>
          <w:trHeight w:val="250"/>
        </w:trPr>
        <w:tc>
          <w:tcPr>
            <w:tcW w:w="160" w:type="dxa"/>
            <w:vAlign w:val="bottom"/>
          </w:tcPr>
          <w:p>
            <w:pPr>
              <w:spacing w:after="0"/>
              <w:rPr>
                <w:sz w:val="21"/>
                <w:szCs w:val="21"/>
                <w:color w:val="auto"/>
              </w:rPr>
            </w:pPr>
          </w:p>
        </w:tc>
        <w:tc>
          <w:tcPr>
            <w:tcW w:w="39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Policies and Procedures for Related Party Transactions</w:t>
              </w:r>
            </w:hyperlink>
          </w:p>
        </w:tc>
        <w:tc>
          <w:tcPr>
            <w:tcW w:w="500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58</w:t>
              </w:r>
            </w:hyperlink>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Certain Related Person Transactions</w:t>
              </w:r>
            </w:hyperlink>
          </w:p>
        </w:tc>
        <w:tc>
          <w:tcPr>
            <w:tcW w:w="180" w:type="dxa"/>
            <w:vAlign w:val="bottom"/>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58</w:t>
              </w:r>
            </w:hyperlink>
          </w:p>
        </w:tc>
      </w:tr>
      <w:tr>
        <w:trPr>
          <w:trHeight w:val="250"/>
        </w:trPr>
        <w:tc>
          <w:tcPr>
            <w:tcW w:w="160" w:type="dxa"/>
            <w:vAlign w:val="bottom"/>
          </w:tcPr>
          <w:p>
            <w:pPr>
              <w:spacing w:after="0"/>
              <w:rPr>
                <w:sz w:val="21"/>
                <w:szCs w:val="21"/>
                <w:color w:val="auto"/>
              </w:rPr>
            </w:pPr>
          </w:p>
        </w:tc>
        <w:tc>
          <w:tcPr>
            <w:tcW w:w="11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Indemnification</w:t>
              </w:r>
            </w:hyperlink>
          </w:p>
        </w:tc>
        <w:tc>
          <w:tcPr>
            <w:tcW w:w="1460" w:type="dxa"/>
            <w:vAlign w:val="bottom"/>
            <w:tcBorders>
              <w:top w:val="single" w:sz="8" w:color="0000FF"/>
            </w:tcBorders>
            <w:gridSpan w:val="5"/>
          </w:tcPr>
          <w:p>
            <w:pPr>
              <w:spacing w:after="0"/>
              <w:rPr>
                <w:sz w:val="21"/>
                <w:szCs w:val="21"/>
                <w:color w:val="auto"/>
              </w:rPr>
            </w:pPr>
          </w:p>
        </w:tc>
        <w:tc>
          <w:tcPr>
            <w:tcW w:w="6340" w:type="dxa"/>
            <w:vAlign w:val="bottom"/>
            <w:gridSpan w:val="10"/>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59</w:t>
              </w:r>
            </w:hyperlink>
          </w:p>
        </w:tc>
      </w:tr>
      <w:tr>
        <w:trPr>
          <w:trHeight w:val="250"/>
        </w:trPr>
        <w:tc>
          <w:tcPr>
            <w:tcW w:w="9120" w:type="dxa"/>
            <w:vAlign w:val="bottom"/>
            <w:gridSpan w:val="2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OTHER MATTERS</w:t>
              </w:r>
            </w:hyperlink>
          </w:p>
        </w:tc>
        <w:tc>
          <w:tcPr>
            <w:tcW w:w="180" w:type="dxa"/>
            <w:vAlign w:val="bottom"/>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60</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4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5">
              <w:r>
                <w:rPr>
                  <w:rFonts w:ascii="Arial" w:cs="Arial" w:eastAsia="Arial" w:hAnsi="Arial"/>
                  <w:sz w:val="18"/>
                  <w:szCs w:val="18"/>
                  <w:color w:val="0000FF"/>
                  <w:w w:val="90"/>
                </w:rPr>
                <w:t>Delinquent Section 16(a) Reports</w:t>
              </w:r>
            </w:hyperlink>
          </w:p>
        </w:tc>
        <w:tc>
          <w:tcPr>
            <w:tcW w:w="6540" w:type="dxa"/>
            <w:vAlign w:val="bottom"/>
            <w:gridSpan w:val="1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60</w:t>
              </w:r>
            </w:hyperlink>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Legal Matters</w:t>
              </w:r>
            </w:hyperlink>
          </w:p>
        </w:tc>
        <w:tc>
          <w:tcPr>
            <w:tcW w:w="180" w:type="dxa"/>
            <w:vAlign w:val="bottom"/>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60</w:t>
              </w:r>
            </w:hyperlink>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Fiscal Year 2021 Annual Report and SEC Filings</w:t>
              </w:r>
            </w:hyperlink>
          </w:p>
        </w:tc>
        <w:tc>
          <w:tcPr>
            <w:tcW w:w="180" w:type="dxa"/>
            <w:vAlign w:val="bottom"/>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60</w:t>
              </w:r>
            </w:hyperlink>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359"/>
          </w:cols>
          <w:pgMar w:left="1100" w:top="1161"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2022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10:00 A.M. PACIFIC TIME ON THURSDAY, JUNE 16, 2022</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providing you with these proxy materials in connection with the solicitation of proxies by our board of directors (the “Board of Directors” or "Board") for use at the 2022 annual meeting of stockholders of Zoom Video Communications, Inc., a Delaware corporation, and any postponements, adjournments or continuations thereof (the “Annual Meeting”). The Annual Meeting will be held as a virtual meeting on Thursday, June 16, 2022 at 10:00 a.m. Pacific Time via a live interactive webcast on the internet at www.virtualshareholdermeeting.com/ZM2022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6, 2022 to all stockholders entitled to vote at the Annual Meeting.</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list of stockholders entitled to vote will be available for 10 days prior to the Annual Meeting at our headquarters, 55 Almaden Blvd., 6th Floor, San Jose, California 95113. If you would like to view the stockholder list, please contact our Investor Relations department via email at investors@zoom.us or at 1-888-799-9666 to schedule an appointment or for alternative arrangements to the extent office access is impracticable due to the COVID-19 pandemic. In addition, a list of the stockholders of record will be available during the Annual Meeting for inspection by stockholders of record for any legally valid purpose related to the Annual Meeting at www.virtualshareholdermeeting.com/ZM2022.</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Annual Meeting will be held solely in a virtual format, which will be conducted via a live video webcast and online stockholder tools. We are using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will be able to attend the virtual Annual Meeting online, submit your questions during the meeting and vote your shares electronically at the virtual meeting by visiting www.virtualshareholdermeeting.com/ZM2022.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 If you encounter any difficulties accessing the virtual meeting during the check-in or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of the Annual Meeting, please call the technical support number that will be posted on the Annual Meeting website log-in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w:t>
      </w:r>
    </w:p>
    <w:p>
      <w:pPr>
        <w:spacing w:after="0" w:line="225" w:lineRule="exact"/>
        <w:rPr>
          <w:sz w:val="20"/>
          <w:szCs w:val="20"/>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the four nominees for Class III directors named herein to serve until our 2025 annual meeting of stockholders and until their successors are duly elected and qualified;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KPMG LLP as our independent registered public accounting firm for our fiscal year ending January 31, 2023;</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compensation of our named executive officers, as disclosed in this proxy statement in accordance with SEC rules;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adjournments or postponements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a vote: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election of Carl M. Eschenbach, William R. McDermott, Janet Napolitano, and Santiago Subotovsky as Class III directors;</w:t>
      </w:r>
    </w:p>
    <w:p>
      <w:pPr>
        <w:spacing w:after="0" w:line="128"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January 31, 2023; and</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advisory approval of the compensation of our named executive officers, as disclosed in this proxy statement in accordance with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Holders of either class of our common stock as of the close of business on April 18, 2022 (the “Record Date”) may vote at the Annual Meeting. As of the Record Date, there were 252,500,739 shares of our Class A common stock outstanding and 46,669,611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shares of our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including any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to obtain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24 hours a day, seven days a week, until 11:59 p.m. Eastern Time on June 15, 2022 (have your Notice or proxy card in hand when you visit the website);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June 15, 2022 at 1-800-690-6903 (be sure to have your Notice or proxy card in hand when you call);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completing and mailing your proxy card so it is received prior to the Annual Meeting (if you received printed proxy materials); or</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attending and voting at the virtual Annual Meeting by visiting www.virtualshareholdermeeting.com/ZM2022, where stockholders may vote and submit questions (before and during) the Annual Meeting (have your Notice or proxy card in hand when you visit the website).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you plan to attend the Annual Meeting online, we recommend that you also vote by proxy prior to the Annual Meeting so that your vote will be counted if you later decide not to attend the Annual Meeting.</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to approve each proposal?</w:t>
      </w:r>
    </w:p>
    <w:p>
      <w:pPr>
        <w:spacing w:after="0" w:line="229" w:lineRule="exact"/>
        <w:rPr>
          <w:sz w:val="20"/>
          <w:szCs w:val="20"/>
          <w:color w:val="auto"/>
        </w:rPr>
      </w:pPr>
    </w:p>
    <w:p>
      <w:pPr>
        <w:jc w:val="both"/>
        <w:ind w:left="980" w:hanging="324"/>
        <w:spacing w:after="0" w:line="273"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Proposal No. 1</w:t>
      </w:r>
      <w:r>
        <w:rPr>
          <w:rFonts w:ascii="Arial" w:cs="Arial" w:eastAsia="Arial" w:hAnsi="Arial"/>
          <w:sz w:val="17"/>
          <w:szCs w:val="17"/>
          <w:color w:val="auto"/>
        </w:rPr>
        <w:t>: The election of directors requires a plurality of the voting power of the shares of our common stock present in person, by</w:t>
      </w:r>
      <w:r>
        <w:rPr>
          <w:rFonts w:ascii="Arial" w:cs="Arial" w:eastAsia="Arial" w:hAnsi="Arial"/>
          <w:sz w:val="17"/>
          <w:szCs w:val="17"/>
          <w:i w:val="1"/>
          <w:iCs w:val="1"/>
          <w:color w:val="auto"/>
        </w:rPr>
        <w:t xml:space="preserve"> </w:t>
      </w:r>
      <w:r>
        <w:rPr>
          <w:rFonts w:ascii="Arial" w:cs="Arial" w:eastAsia="Arial" w:hAnsi="Arial"/>
          <w:sz w:val="17"/>
          <w:szCs w:val="17"/>
          <w:color w:val="auto"/>
        </w:rPr>
        <w:t>remote communication or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spacing w:after="0" w:line="69"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KPMG LLP as our independent registered public accounting firm for our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January 31, 2023, requires the affirmative vote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7" w:name="page8"/>
    <w:bookmarkEnd w:id="7"/>
    <w:p>
      <w:pPr>
        <w:jc w:val="both"/>
        <w:ind w:left="980"/>
        <w:spacing w:after="0" w:line="286" w:lineRule="auto"/>
        <w:rPr>
          <w:sz w:val="20"/>
          <w:szCs w:val="20"/>
          <w:color w:val="auto"/>
        </w:rPr>
      </w:pPr>
      <w:r>
        <w:rPr>
          <w:rFonts w:ascii="Arial" w:cs="Arial" w:eastAsia="Arial" w:hAnsi="Arial"/>
          <w:sz w:val="17"/>
          <w:szCs w:val="17"/>
          <w:color w:val="auto"/>
        </w:rPr>
        <w:t>majority of the voting power of the shares of our common stock present in person, by remote communication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65" w:lineRule="exact"/>
        <w:rPr>
          <w:sz w:val="20"/>
          <w:szCs w:val="20"/>
          <w:color w:val="auto"/>
        </w:rPr>
      </w:pPr>
    </w:p>
    <w:p>
      <w:pPr>
        <w:jc w:val="both"/>
        <w:ind w:left="980" w:hanging="324"/>
        <w:spacing w:after="0" w:line="279"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Proposal No. 3</w:t>
      </w:r>
      <w:r>
        <w:rPr>
          <w:rFonts w:ascii="Arial" w:cs="Arial" w:eastAsia="Arial" w:hAnsi="Arial"/>
          <w:sz w:val="17"/>
          <w:szCs w:val="17"/>
          <w:color w:val="auto"/>
        </w:rPr>
        <w:t>: Advisory approval of the compensation of our named executive officers requires the affirmative vote of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voting power of the shares of our common stock present in person, by remote communication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and returning a later-dated proxy card;</w:t>
      </w:r>
    </w:p>
    <w:p>
      <w:pPr>
        <w:spacing w:after="0" w:line="117" w:lineRule="exact"/>
        <w:rPr>
          <w:rFonts w:ascii="Arial" w:cs="Arial" w:eastAsia="Arial" w:hAnsi="Arial"/>
          <w:sz w:val="18"/>
          <w:szCs w:val="18"/>
          <w:color w:val="auto"/>
        </w:rPr>
      </w:pPr>
    </w:p>
    <w:p>
      <w:pPr>
        <w:jc w:val="both"/>
        <w:ind w:left="980" w:hanging="324"/>
        <w:spacing w:after="0" w:line="23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notifying the Secretary of Zoom Video Communications, Inc., in writing received at the following address by the close of business on the business day immediately preceding the Annual Meeting, at Zoom Video Communications, Inc., 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 or</w:t>
      </w:r>
    </w:p>
    <w:p>
      <w:pPr>
        <w:spacing w:after="0" w:line="9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 (although attendance at the Annual Meeting will not, by itself, revoke a proxy).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a street name stockholder, your broker, bank or other nominee can provide you with instructions on how to change your vote.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Proxies are solicited by and on behalf of our Board of Directors. Eric S. Yuan, Kelly Steckelberg, and Aparna Bawa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primarily via the Internet.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Notice containing instructions on how to access our proxy materials is first being mailed on or about May 6, 2022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 Annual Meeting: the proposal to ratify the appointment of KPMG LLP as our independent registered public accounting firm for our fiscal year ending January 31, 2023. Your broker will not have discretion to vote on any other proposals, which are “non-routine” matters, absent direction from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jc w:val="center"/>
        <w:spacing w:after="0" w:line="205"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95113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1-888-799-9666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investors@zoom.us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9" w:name="page10"/>
    <w:bookmarkEnd w:id="9"/>
    <w:p>
      <w:pPr>
        <w:spacing w:after="0" w:line="19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2023 annual meeting of stockholders, our Secretary must receive the written proposal at our principal executive offices not later than January 6,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jc w:val="center"/>
        <w:spacing w:after="0" w:line="206"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San Jose, California 95113</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our 2023 annual meeting of stockholders, our Secretary must receive the written notice at our principal executive offices:</w:t>
      </w:r>
    </w:p>
    <w:p>
      <w:pPr>
        <w:spacing w:after="0" w:line="19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16, 2023;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18, 2023.</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we hold the 2023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2023 annual meeting of stockholders and no later than the close of business on the later of the following two dates:</w:t>
      </w:r>
    </w:p>
    <w:p>
      <w:pPr>
        <w:spacing w:after="0" w:line="14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the 2023 annual meeting of stockholders;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date of our 2023 annual meeting of stockholders is first made.</w:t>
      </w:r>
    </w:p>
    <w:p>
      <w:pPr>
        <w:spacing w:after="0" w:line="1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648"/>
        <w:spacing w:after="0" w:line="301"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Proxy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satisfying the foregoing requirements under our amended and restated bylaws, to comply with the universal proxy rules (once effective), stockholders who intend to solicit proxies in support of director nominees other than our board’s nominees must provide notice that sets forth any additional information required by Rule 14a-19 under the Exchange Act no later than April 17,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contact our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1" w:name="page12"/>
    <w:bookmarkEnd w:id="1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10 members. Nine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following table sets forth the names, ages as of March 31, 2022, and certain other information for each of the members of our Board of Directors with terms expiring at the Annual Meeting (who are also nominees for election as a director at the Annual Meeting) and for each of the continuing members of our Board of Directors: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660" w:type="dxa"/>
            <w:vAlign w:val="bottom"/>
            <w:gridSpan w:val="2"/>
          </w:tcPr>
          <w:p>
            <w:pPr>
              <w:ind w:left="660"/>
              <w:spacing w:after="0"/>
              <w:rPr>
                <w:sz w:val="20"/>
                <w:szCs w:val="20"/>
                <w:color w:val="auto"/>
              </w:rPr>
            </w:pPr>
            <w:r>
              <w:rPr>
                <w:rFonts w:ascii="Arial" w:cs="Arial" w:eastAsia="Arial" w:hAnsi="Arial"/>
                <w:sz w:val="18"/>
                <w:szCs w:val="18"/>
                <w:b w:val="1"/>
                <w:bCs w:val="1"/>
                <w:color w:val="auto"/>
              </w:rPr>
              <w:t>Directors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with Terms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Expiring at the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vMerge w:val="restart"/>
          </w:tcPr>
          <w:p>
            <w:pPr>
              <w:jc w:val="center"/>
              <w:ind w:left="450"/>
              <w:spacing w:after="0"/>
              <w:rPr>
                <w:sz w:val="20"/>
                <w:szCs w:val="20"/>
                <w:color w:val="auto"/>
              </w:rPr>
            </w:pPr>
            <w:r>
              <w:rPr>
                <w:rFonts w:ascii="Arial" w:cs="Arial" w:eastAsia="Arial" w:hAnsi="Arial"/>
                <w:sz w:val="18"/>
                <w:szCs w:val="18"/>
                <w:b w:val="1"/>
                <w:bCs w:val="1"/>
                <w:color w:val="auto"/>
                <w:w w:val="92"/>
              </w:rPr>
              <w:t>Director</w:t>
            </w:r>
          </w:p>
        </w:tc>
        <w:tc>
          <w:tcPr>
            <w:tcW w:w="1400" w:type="dxa"/>
            <w:vAlign w:val="bottom"/>
            <w:gridSpan w:val="2"/>
            <w:vMerge w:val="restart"/>
          </w:tcPr>
          <w:p>
            <w:pPr>
              <w:jc w:val="center"/>
              <w:ind w:left="450"/>
              <w:spacing w:after="0"/>
              <w:rPr>
                <w:sz w:val="20"/>
                <w:szCs w:val="20"/>
                <w:color w:val="auto"/>
              </w:rPr>
            </w:pPr>
            <w:r>
              <w:rPr>
                <w:rFonts w:ascii="Arial" w:cs="Arial" w:eastAsia="Arial" w:hAnsi="Arial"/>
                <w:sz w:val="18"/>
                <w:szCs w:val="18"/>
                <w:b w:val="1"/>
                <w:bCs w:val="1"/>
                <w:color w:val="auto"/>
                <w:w w:val="95"/>
              </w:rPr>
              <w:t>Current</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Annual</w:t>
            </w:r>
          </w:p>
        </w:tc>
        <w:tc>
          <w:tcPr>
            <w:tcW w:w="1180" w:type="dxa"/>
            <w:vAlign w:val="bottom"/>
            <w:gridSpan w:val="2"/>
            <w:vMerge w:val="restart"/>
          </w:tcPr>
          <w:p>
            <w:pPr>
              <w:jc w:val="center"/>
              <w:ind w:left="470"/>
              <w:spacing w:after="0"/>
              <w:rPr>
                <w:sz w:val="20"/>
                <w:szCs w:val="20"/>
                <w:color w:val="auto"/>
              </w:rPr>
            </w:pPr>
            <w:r>
              <w:rPr>
                <w:rFonts w:ascii="Arial" w:cs="Arial" w:eastAsia="Arial" w:hAnsi="Arial"/>
                <w:sz w:val="18"/>
                <w:szCs w:val="18"/>
                <w:b w:val="1"/>
                <w:bCs w:val="1"/>
                <w:color w:val="auto"/>
                <w:w w:val="87"/>
              </w:rPr>
              <w:t>Class</w:t>
            </w:r>
          </w:p>
        </w:tc>
        <w:tc>
          <w:tcPr>
            <w:tcW w:w="1060" w:type="dxa"/>
            <w:vAlign w:val="bottom"/>
            <w:gridSpan w:val="2"/>
            <w:vMerge w:val="restart"/>
          </w:tcPr>
          <w:p>
            <w:pPr>
              <w:jc w:val="center"/>
              <w:ind w:left="470"/>
              <w:spacing w:after="0"/>
              <w:rPr>
                <w:sz w:val="20"/>
                <w:szCs w:val="20"/>
                <w:color w:val="auto"/>
              </w:rPr>
            </w:pPr>
            <w:r>
              <w:rPr>
                <w:rFonts w:ascii="Arial" w:cs="Arial" w:eastAsia="Arial" w:hAnsi="Arial"/>
                <w:sz w:val="18"/>
                <w:szCs w:val="18"/>
                <w:b w:val="1"/>
                <w:bCs w:val="1"/>
                <w:color w:val="auto"/>
                <w:w w:val="88"/>
              </w:rPr>
              <w:t>Age</w:t>
            </w:r>
          </w:p>
        </w:tc>
        <w:tc>
          <w:tcPr>
            <w:tcW w:w="1500" w:type="dxa"/>
            <w:vAlign w:val="bottom"/>
            <w:gridSpan w:val="2"/>
            <w:vMerge w:val="restart"/>
          </w:tcPr>
          <w:p>
            <w:pPr>
              <w:jc w:val="center"/>
              <w:ind w:left="470"/>
              <w:spacing w:after="0"/>
              <w:rPr>
                <w:sz w:val="20"/>
                <w:szCs w:val="20"/>
                <w:color w:val="auto"/>
              </w:rPr>
            </w:pPr>
            <w:r>
              <w:rPr>
                <w:rFonts w:ascii="Arial" w:cs="Arial" w:eastAsia="Arial" w:hAnsi="Arial"/>
                <w:sz w:val="18"/>
                <w:szCs w:val="18"/>
                <w:b w:val="1"/>
                <w:bCs w:val="1"/>
                <w:color w:val="auto"/>
                <w:w w:val="87"/>
              </w:rPr>
              <w:t>Position</w:t>
            </w:r>
          </w:p>
        </w:tc>
        <w:tc>
          <w:tcPr>
            <w:tcW w:w="14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3"/>
              </w:rPr>
              <w:t>of Term For Which</w:t>
            </w:r>
          </w:p>
        </w:tc>
        <w:tc>
          <w:tcPr>
            <w:tcW w:w="0" w:type="dxa"/>
            <w:vAlign w:val="bottom"/>
          </w:tcPr>
          <w:p>
            <w:pPr>
              <w:spacing w:after="0"/>
              <w:rPr>
                <w:sz w:val="1"/>
                <w:szCs w:val="1"/>
                <w:color w:val="auto"/>
              </w:rPr>
            </w:pPr>
          </w:p>
        </w:tc>
      </w:tr>
      <w:tr>
        <w:trPr>
          <w:trHeight w:val="234"/>
        </w:trPr>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Meeting/Nominees</w:t>
            </w:r>
          </w:p>
        </w:tc>
        <w:tc>
          <w:tcPr>
            <w:tcW w:w="118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420" w:type="dxa"/>
            <w:vAlign w:val="bottom"/>
            <w:gridSpan w:val="2"/>
          </w:tcPr>
          <w:p>
            <w:pPr>
              <w:ind w:left="460"/>
              <w:spacing w:after="0"/>
              <w:rPr>
                <w:sz w:val="20"/>
                <w:szCs w:val="20"/>
                <w:color w:val="auto"/>
              </w:rPr>
            </w:pPr>
            <w:r>
              <w:rPr>
                <w:rFonts w:ascii="Arial" w:cs="Arial" w:eastAsia="Arial" w:hAnsi="Arial"/>
                <w:sz w:val="18"/>
                <w:szCs w:val="18"/>
                <w:b w:val="1"/>
                <w:bCs w:val="1"/>
                <w:color w:val="auto"/>
              </w:rPr>
              <w:t>Since</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Term Expires</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Nominated</w:t>
            </w:r>
          </w:p>
        </w:tc>
        <w:tc>
          <w:tcPr>
            <w:tcW w:w="0" w:type="dxa"/>
            <w:vAlign w:val="bottom"/>
          </w:tcPr>
          <w:p>
            <w:pPr>
              <w:spacing w:after="0"/>
              <w:rPr>
                <w:sz w:val="1"/>
                <w:szCs w:val="1"/>
                <w:color w:val="auto"/>
              </w:rPr>
            </w:pPr>
          </w:p>
        </w:tc>
      </w:tr>
      <w:tr>
        <w:trPr>
          <w:trHeight w:val="90"/>
        </w:trPr>
        <w:tc>
          <w:tcPr>
            <w:tcW w:w="15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Carl M.</w:t>
            </w:r>
          </w:p>
        </w:tc>
        <w:tc>
          <w:tcPr>
            <w:tcW w:w="11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rPr>
              <w:t>III</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5"/>
              </w:rPr>
              <w:t>Director</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2022</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337"/>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Eschenbach</w:t>
            </w:r>
            <w:r>
              <w:rPr>
                <w:rFonts w:ascii="Arial" w:cs="Arial" w:eastAsia="Arial" w:hAnsi="Arial"/>
                <w:sz w:val="23"/>
                <w:szCs w:val="23"/>
                <w:color w:val="auto"/>
                <w:vertAlign w:val="superscript"/>
              </w:rPr>
              <w:t>(1)</w:t>
            </w: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William R.</w:t>
            </w:r>
          </w:p>
        </w:tc>
        <w:tc>
          <w:tcPr>
            <w:tcW w:w="1180" w:type="dxa"/>
            <w:vAlign w:val="bottom"/>
            <w:gridSpan w:val="2"/>
          </w:tcPr>
          <w:p>
            <w:pPr>
              <w:jc w:val="center"/>
              <w:ind w:left="470"/>
              <w:spacing w:after="0" w:line="176" w:lineRule="exact"/>
              <w:rPr>
                <w:sz w:val="20"/>
                <w:szCs w:val="20"/>
                <w:color w:val="auto"/>
              </w:rPr>
            </w:pPr>
            <w:r>
              <w:rPr>
                <w:rFonts w:ascii="Arial" w:cs="Arial" w:eastAsia="Arial" w:hAnsi="Arial"/>
                <w:sz w:val="18"/>
                <w:szCs w:val="18"/>
                <w:color w:val="auto"/>
              </w:rPr>
              <w:t>III</w:t>
            </w:r>
          </w:p>
        </w:tc>
        <w:tc>
          <w:tcPr>
            <w:tcW w:w="98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60</w:t>
            </w:r>
          </w:p>
        </w:tc>
        <w:tc>
          <w:tcPr>
            <w:tcW w:w="80" w:type="dxa"/>
            <w:vAlign w:val="bottom"/>
          </w:tcPr>
          <w:p>
            <w:pPr>
              <w:spacing w:after="0"/>
              <w:rPr>
                <w:sz w:val="15"/>
                <w:szCs w:val="15"/>
                <w:color w:val="auto"/>
              </w:rPr>
            </w:pPr>
          </w:p>
        </w:tc>
        <w:tc>
          <w:tcPr>
            <w:tcW w:w="1500" w:type="dxa"/>
            <w:vAlign w:val="bottom"/>
            <w:gridSpan w:val="2"/>
          </w:tcPr>
          <w:p>
            <w:pPr>
              <w:jc w:val="center"/>
              <w:ind w:left="450"/>
              <w:spacing w:after="0" w:line="176" w:lineRule="exact"/>
              <w:rPr>
                <w:sz w:val="20"/>
                <w:szCs w:val="20"/>
                <w:color w:val="auto"/>
              </w:rPr>
            </w:pPr>
            <w:r>
              <w:rPr>
                <w:rFonts w:ascii="Arial" w:cs="Arial" w:eastAsia="Arial" w:hAnsi="Arial"/>
                <w:sz w:val="18"/>
                <w:szCs w:val="18"/>
                <w:color w:val="auto"/>
                <w:w w:val="95"/>
              </w:rPr>
              <w:t>Director</w:t>
            </w:r>
          </w:p>
        </w:tc>
        <w:tc>
          <w:tcPr>
            <w:tcW w:w="134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5"/>
                <w:szCs w:val="15"/>
                <w:color w:val="auto"/>
              </w:rPr>
            </w:pPr>
          </w:p>
        </w:tc>
        <w:tc>
          <w:tcPr>
            <w:tcW w:w="132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5"/>
                <w:szCs w:val="15"/>
                <w:color w:val="auto"/>
              </w:rPr>
            </w:pPr>
          </w:p>
        </w:tc>
        <w:tc>
          <w:tcPr>
            <w:tcW w:w="152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McDermott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660"/>
              <w:spacing w:after="0" w:line="176" w:lineRule="exact"/>
              <w:rPr>
                <w:sz w:val="20"/>
                <w:szCs w:val="20"/>
                <w:color w:val="auto"/>
              </w:rPr>
            </w:pPr>
            <w:r>
              <w:rPr>
                <w:rFonts w:ascii="Arial" w:cs="Arial" w:eastAsia="Arial" w:hAnsi="Arial"/>
                <w:sz w:val="18"/>
                <w:szCs w:val="18"/>
                <w:color w:val="auto"/>
              </w:rPr>
              <w:t>Janet</w:t>
            </w:r>
          </w:p>
        </w:tc>
        <w:tc>
          <w:tcPr>
            <w:tcW w:w="1180" w:type="dxa"/>
            <w:vAlign w:val="bottom"/>
            <w:gridSpan w:val="2"/>
            <w:shd w:val="clear" w:color="auto" w:fill="CCEEFF"/>
          </w:tcPr>
          <w:p>
            <w:pPr>
              <w:jc w:val="center"/>
              <w:ind w:left="470"/>
              <w:spacing w:after="0" w:line="176" w:lineRule="exact"/>
              <w:rPr>
                <w:sz w:val="20"/>
                <w:szCs w:val="20"/>
                <w:color w:val="auto"/>
              </w:rPr>
            </w:pPr>
            <w:r>
              <w:rPr>
                <w:rFonts w:ascii="Arial" w:cs="Arial" w:eastAsia="Arial" w:hAnsi="Arial"/>
                <w:sz w:val="18"/>
                <w:szCs w:val="18"/>
                <w:color w:val="auto"/>
              </w:rPr>
              <w:t>III</w:t>
            </w:r>
          </w:p>
        </w:tc>
        <w:tc>
          <w:tcPr>
            <w:tcW w:w="98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64</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ind w:left="530"/>
              <w:spacing w:after="0" w:line="176" w:lineRule="exact"/>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2022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Napolitano</w:t>
            </w:r>
            <w:r>
              <w:rPr>
                <w:rFonts w:ascii="Arial" w:cs="Arial" w:eastAsia="Arial" w:hAnsi="Arial"/>
                <w:sz w:val="23"/>
                <w:szCs w:val="23"/>
                <w:color w:val="auto"/>
                <w:vertAlign w:val="superscript"/>
              </w:rPr>
              <w:t>(4)</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gridSpan w:val="2"/>
          </w:tcPr>
          <w:p>
            <w:pPr>
              <w:ind w:left="660"/>
              <w:spacing w:after="0"/>
              <w:rPr>
                <w:sz w:val="20"/>
                <w:szCs w:val="20"/>
                <w:color w:val="auto"/>
              </w:rPr>
            </w:pPr>
            <w:r>
              <w:rPr>
                <w:rFonts w:ascii="Arial" w:cs="Arial" w:eastAsia="Arial" w:hAnsi="Arial"/>
                <w:sz w:val="18"/>
                <w:szCs w:val="18"/>
                <w:color w:val="auto"/>
              </w:rPr>
              <w:t>Santiago</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rPr>
              <w:t>III</w:t>
            </w:r>
          </w:p>
        </w:tc>
        <w:tc>
          <w:tcPr>
            <w:tcW w:w="980" w:type="dxa"/>
            <w:vAlign w:val="bottom"/>
          </w:tcPr>
          <w:p>
            <w:pPr>
              <w:jc w:val="center"/>
              <w:ind w:left="550"/>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19"/>
                <w:szCs w:val="19"/>
                <w:color w:val="auto"/>
              </w:rPr>
            </w:pPr>
          </w:p>
        </w:tc>
        <w:tc>
          <w:tcPr>
            <w:tcW w:w="1500" w:type="dxa"/>
            <w:vAlign w:val="bottom"/>
            <w:gridSpan w:val="2"/>
          </w:tcPr>
          <w:p>
            <w:pPr>
              <w:jc w:val="center"/>
              <w:ind w:left="45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ind w:left="530"/>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9"/>
                <w:szCs w:val="19"/>
                <w:color w:val="auto"/>
              </w:rPr>
            </w:pPr>
          </w:p>
        </w:tc>
        <w:tc>
          <w:tcPr>
            <w:tcW w:w="1320" w:type="dxa"/>
            <w:vAlign w:val="bottom"/>
          </w:tcPr>
          <w:p>
            <w:pPr>
              <w:jc w:val="center"/>
              <w:ind w:left="550"/>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9"/>
                <w:szCs w:val="19"/>
                <w:color w:val="auto"/>
              </w:rPr>
            </w:pPr>
          </w:p>
        </w:tc>
        <w:tc>
          <w:tcPr>
            <w:tcW w:w="1520" w:type="dxa"/>
            <w:vAlign w:val="bottom"/>
          </w:tcPr>
          <w:p>
            <w:pPr>
              <w:jc w:val="center"/>
              <w:ind w:left="550"/>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304"/>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Subotovsky</w:t>
            </w:r>
            <w:r>
              <w:rPr>
                <w:rFonts w:ascii="Arial" w:cs="Arial" w:eastAsia="Arial" w:hAnsi="Arial"/>
                <w:sz w:val="23"/>
                <w:szCs w:val="23"/>
                <w:color w:val="auto"/>
                <w:vertAlign w:val="superscript"/>
              </w:rPr>
              <w:t>(2)(3)</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660"/>
              <w:spacing w:after="0" w:line="176" w:lineRule="exact"/>
              <w:rPr>
                <w:sz w:val="20"/>
                <w:szCs w:val="20"/>
                <w:color w:val="auto"/>
              </w:rPr>
            </w:pPr>
            <w:r>
              <w:rPr>
                <w:rFonts w:ascii="Arial" w:cs="Arial" w:eastAsia="Arial" w:hAnsi="Arial"/>
                <w:sz w:val="18"/>
                <w:szCs w:val="18"/>
                <w:b w:val="1"/>
                <w:bCs w:val="1"/>
                <w:color w:val="auto"/>
              </w:rPr>
              <w:t>Continuing</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Peter</w:t>
            </w:r>
          </w:p>
        </w:tc>
        <w:tc>
          <w:tcPr>
            <w:tcW w:w="1180" w:type="dxa"/>
            <w:vAlign w:val="bottom"/>
            <w:gridSpan w:val="2"/>
          </w:tcPr>
          <w:p>
            <w:pPr>
              <w:jc w:val="center"/>
              <w:ind w:left="470"/>
              <w:spacing w:after="0" w:line="176" w:lineRule="exact"/>
              <w:rPr>
                <w:sz w:val="20"/>
                <w:szCs w:val="20"/>
                <w:color w:val="auto"/>
              </w:rPr>
            </w:pPr>
            <w:r>
              <w:rPr>
                <w:rFonts w:ascii="Arial" w:cs="Arial" w:eastAsia="Arial" w:hAnsi="Arial"/>
                <w:sz w:val="18"/>
                <w:szCs w:val="18"/>
                <w:color w:val="auto"/>
              </w:rPr>
              <w:t>I</w:t>
            </w:r>
          </w:p>
        </w:tc>
        <w:tc>
          <w:tcPr>
            <w:tcW w:w="98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15"/>
                <w:szCs w:val="15"/>
                <w:color w:val="auto"/>
              </w:rPr>
            </w:pPr>
          </w:p>
        </w:tc>
        <w:tc>
          <w:tcPr>
            <w:tcW w:w="1500" w:type="dxa"/>
            <w:vAlign w:val="bottom"/>
            <w:gridSpan w:val="2"/>
          </w:tcPr>
          <w:p>
            <w:pPr>
              <w:jc w:val="center"/>
              <w:ind w:left="450"/>
              <w:spacing w:after="0" w:line="176" w:lineRule="exact"/>
              <w:rPr>
                <w:sz w:val="20"/>
                <w:szCs w:val="20"/>
                <w:color w:val="auto"/>
              </w:rPr>
            </w:pPr>
            <w:r>
              <w:rPr>
                <w:rFonts w:ascii="Arial" w:cs="Arial" w:eastAsia="Arial" w:hAnsi="Arial"/>
                <w:sz w:val="18"/>
                <w:szCs w:val="18"/>
                <w:color w:val="auto"/>
                <w:w w:val="95"/>
              </w:rPr>
              <w:t>Director</w:t>
            </w:r>
          </w:p>
        </w:tc>
        <w:tc>
          <w:tcPr>
            <w:tcW w:w="134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15"/>
                <w:szCs w:val="15"/>
                <w:color w:val="auto"/>
              </w:rPr>
            </w:pPr>
          </w:p>
        </w:tc>
        <w:tc>
          <w:tcPr>
            <w:tcW w:w="132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2023</w:t>
            </w:r>
          </w:p>
        </w:tc>
        <w:tc>
          <w:tcPr>
            <w:tcW w:w="80" w:type="dxa"/>
            <w:vAlign w:val="bottom"/>
          </w:tcPr>
          <w:p>
            <w:pPr>
              <w:spacing w:after="0"/>
              <w:rPr>
                <w:sz w:val="15"/>
                <w:szCs w:val="15"/>
                <w:color w:val="auto"/>
              </w:rPr>
            </w:pPr>
          </w:p>
        </w:tc>
        <w:tc>
          <w:tcPr>
            <w:tcW w:w="152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Gassner</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660"/>
              <w:spacing w:after="0" w:line="176" w:lineRule="exact"/>
              <w:rPr>
                <w:sz w:val="20"/>
                <w:szCs w:val="20"/>
                <w:color w:val="auto"/>
              </w:rPr>
            </w:pPr>
            <w:r>
              <w:rPr>
                <w:rFonts w:ascii="Arial" w:cs="Arial" w:eastAsia="Arial" w:hAnsi="Arial"/>
                <w:sz w:val="18"/>
                <w:szCs w:val="18"/>
                <w:color w:val="auto"/>
              </w:rPr>
              <w:t>Lieut. Gen.</w:t>
            </w:r>
          </w:p>
        </w:tc>
        <w:tc>
          <w:tcPr>
            <w:tcW w:w="1180" w:type="dxa"/>
            <w:vAlign w:val="bottom"/>
            <w:gridSpan w:val="2"/>
            <w:shd w:val="clear" w:color="auto" w:fill="CCEEFF"/>
          </w:tcPr>
          <w:p>
            <w:pPr>
              <w:jc w:val="center"/>
              <w:ind w:left="470"/>
              <w:spacing w:after="0" w:line="176" w:lineRule="exact"/>
              <w:rPr>
                <w:sz w:val="20"/>
                <w:szCs w:val="20"/>
                <w:color w:val="auto"/>
              </w:rPr>
            </w:pPr>
            <w:r>
              <w:rPr>
                <w:rFonts w:ascii="Arial" w:cs="Arial" w:eastAsia="Arial" w:hAnsi="Arial"/>
                <w:sz w:val="18"/>
                <w:szCs w:val="18"/>
                <w:color w:val="auto"/>
              </w:rPr>
              <w:t>I</w:t>
            </w:r>
          </w:p>
        </w:tc>
        <w:tc>
          <w:tcPr>
            <w:tcW w:w="98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59</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left="450"/>
              <w:spacing w:after="0" w:line="176" w:lineRule="exact"/>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ind w:left="530"/>
              <w:spacing w:after="0" w:line="176" w:lineRule="exact"/>
              <w:rPr>
                <w:sz w:val="20"/>
                <w:szCs w:val="20"/>
                <w:color w:val="auto"/>
              </w:rPr>
            </w:pPr>
            <w:r>
              <w:rPr>
                <w:rFonts w:ascii="Arial" w:cs="Arial" w:eastAsia="Arial" w:hAnsi="Arial"/>
                <w:sz w:val="18"/>
                <w:szCs w:val="18"/>
                <w:color w:val="auto"/>
                <w:w w:val="89"/>
              </w:rPr>
              <w:t>2020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2023</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530"/>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16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H.R. McMaster</w:t>
            </w:r>
            <w:r>
              <w:rPr>
                <w:rFonts w:ascii="Arial" w:cs="Arial" w:eastAsia="Arial" w:hAnsi="Arial"/>
                <w:sz w:val="23"/>
                <w:szCs w:val="23"/>
                <w:color w:val="auto"/>
                <w:vertAlign w:val="superscript"/>
              </w:rPr>
              <w:t>(4)</w:t>
            </w: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6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Eric S.</w:t>
            </w:r>
          </w:p>
        </w:tc>
        <w:tc>
          <w:tcPr>
            <w:tcW w:w="1180" w:type="dxa"/>
            <w:vAlign w:val="bottom"/>
            <w:gridSpan w:val="2"/>
          </w:tcPr>
          <w:p>
            <w:pPr>
              <w:jc w:val="center"/>
              <w:ind w:left="470"/>
              <w:spacing w:after="0" w:line="176" w:lineRule="exact"/>
              <w:rPr>
                <w:sz w:val="20"/>
                <w:szCs w:val="20"/>
                <w:color w:val="auto"/>
              </w:rPr>
            </w:pPr>
            <w:r>
              <w:rPr>
                <w:rFonts w:ascii="Arial" w:cs="Arial" w:eastAsia="Arial" w:hAnsi="Arial"/>
                <w:sz w:val="18"/>
                <w:szCs w:val="18"/>
                <w:color w:val="auto"/>
              </w:rPr>
              <w:t>I</w:t>
            </w:r>
          </w:p>
        </w:tc>
        <w:tc>
          <w:tcPr>
            <w:tcW w:w="98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15"/>
                <w:szCs w:val="15"/>
                <w:color w:val="auto"/>
              </w:rPr>
            </w:pPr>
          </w:p>
        </w:tc>
        <w:tc>
          <w:tcPr>
            <w:tcW w:w="1500" w:type="dxa"/>
            <w:vAlign w:val="bottom"/>
            <w:gridSpan w:val="2"/>
          </w:tcPr>
          <w:p>
            <w:pPr>
              <w:jc w:val="center"/>
              <w:ind w:left="470"/>
              <w:spacing w:after="0" w:line="176" w:lineRule="exact"/>
              <w:rPr>
                <w:sz w:val="20"/>
                <w:szCs w:val="20"/>
                <w:color w:val="auto"/>
              </w:rPr>
            </w:pPr>
            <w:r>
              <w:rPr>
                <w:rFonts w:ascii="Arial" w:cs="Arial" w:eastAsia="Arial" w:hAnsi="Arial"/>
                <w:sz w:val="18"/>
                <w:szCs w:val="18"/>
                <w:color w:val="auto"/>
                <w:w w:val="86"/>
              </w:rPr>
              <w:t>President,</w:t>
            </w:r>
          </w:p>
        </w:tc>
        <w:tc>
          <w:tcPr>
            <w:tcW w:w="134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5"/>
                <w:szCs w:val="15"/>
                <w:color w:val="auto"/>
              </w:rPr>
            </w:pPr>
          </w:p>
        </w:tc>
        <w:tc>
          <w:tcPr>
            <w:tcW w:w="132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2023</w:t>
            </w:r>
          </w:p>
        </w:tc>
        <w:tc>
          <w:tcPr>
            <w:tcW w:w="80" w:type="dxa"/>
            <w:vAlign w:val="bottom"/>
          </w:tcPr>
          <w:p>
            <w:pPr>
              <w:spacing w:after="0"/>
              <w:rPr>
                <w:sz w:val="15"/>
                <w:szCs w:val="15"/>
                <w:color w:val="auto"/>
              </w:rPr>
            </w:pPr>
          </w:p>
        </w:tc>
        <w:tc>
          <w:tcPr>
            <w:tcW w:w="152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Yuan</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Chief Executive</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3"/>
              </w:rPr>
              <w:t>Officer and</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Chairman of the</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Board</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Jonathan</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II</w:t>
            </w:r>
          </w:p>
        </w:tc>
        <w:tc>
          <w:tcPr>
            <w:tcW w:w="9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2024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37"/>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Chadwick</w:t>
            </w:r>
            <w:r>
              <w:rPr>
                <w:rFonts w:ascii="Arial" w:cs="Arial" w:eastAsia="Arial" w:hAnsi="Arial"/>
                <w:sz w:val="23"/>
                <w:szCs w:val="23"/>
                <w:color w:val="auto"/>
                <w:vertAlign w:val="superscript"/>
              </w:rPr>
              <w:t>(1)</w:t>
            </w: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60" w:type="dxa"/>
            <w:vAlign w:val="bottom"/>
            <w:gridSpan w:val="2"/>
          </w:tcPr>
          <w:p>
            <w:pPr>
              <w:ind w:left="660"/>
              <w:spacing w:after="0"/>
              <w:rPr>
                <w:sz w:val="20"/>
                <w:szCs w:val="20"/>
                <w:color w:val="auto"/>
              </w:rPr>
            </w:pPr>
            <w:r>
              <w:rPr>
                <w:rFonts w:ascii="Arial" w:cs="Arial" w:eastAsia="Arial" w:hAnsi="Arial"/>
                <w:sz w:val="18"/>
                <w:szCs w:val="18"/>
                <w:color w:val="auto"/>
              </w:rPr>
              <w:t>Kimberly</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color w:val="auto"/>
              </w:rPr>
              <w:t>II</w:t>
            </w:r>
          </w:p>
        </w:tc>
        <w:tc>
          <w:tcPr>
            <w:tcW w:w="980" w:type="dxa"/>
            <w:vAlign w:val="bottom"/>
          </w:tcPr>
          <w:p>
            <w:pPr>
              <w:jc w:val="center"/>
              <w:ind w:left="550"/>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19"/>
                <w:szCs w:val="19"/>
                <w:color w:val="auto"/>
              </w:rPr>
            </w:pPr>
          </w:p>
        </w:tc>
        <w:tc>
          <w:tcPr>
            <w:tcW w:w="1500" w:type="dxa"/>
            <w:vAlign w:val="bottom"/>
            <w:gridSpan w:val="2"/>
          </w:tcPr>
          <w:p>
            <w:pPr>
              <w:jc w:val="center"/>
              <w:ind w:left="45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ind w:left="53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320" w:type="dxa"/>
            <w:vAlign w:val="bottom"/>
          </w:tcPr>
          <w:p>
            <w:pPr>
              <w:jc w:val="center"/>
              <w:ind w:left="550"/>
              <w:spacing w:after="0"/>
              <w:rPr>
                <w:sz w:val="20"/>
                <w:szCs w:val="20"/>
                <w:color w:val="auto"/>
              </w:rPr>
            </w:pPr>
            <w:r>
              <w:rPr>
                <w:rFonts w:ascii="Arial" w:cs="Arial" w:eastAsia="Arial" w:hAnsi="Arial"/>
                <w:sz w:val="18"/>
                <w:szCs w:val="18"/>
                <w:color w:val="auto"/>
                <w:w w:val="89"/>
              </w:rPr>
              <w:t>2024</w:t>
            </w:r>
          </w:p>
        </w:tc>
        <w:tc>
          <w:tcPr>
            <w:tcW w:w="80" w:type="dxa"/>
            <w:vAlign w:val="bottom"/>
          </w:tcPr>
          <w:p>
            <w:pPr>
              <w:spacing w:after="0"/>
              <w:rPr>
                <w:sz w:val="19"/>
                <w:szCs w:val="19"/>
                <w:color w:val="auto"/>
              </w:rPr>
            </w:pPr>
          </w:p>
        </w:tc>
        <w:tc>
          <w:tcPr>
            <w:tcW w:w="1520" w:type="dxa"/>
            <w:vAlign w:val="bottom"/>
          </w:tcPr>
          <w:p>
            <w:pPr>
              <w:jc w:val="center"/>
              <w:ind w:left="5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04"/>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L. Hammonds</w:t>
            </w:r>
            <w:r>
              <w:rPr>
                <w:rFonts w:ascii="Arial" w:cs="Arial" w:eastAsia="Arial" w:hAnsi="Arial"/>
                <w:sz w:val="23"/>
                <w:szCs w:val="23"/>
                <w:color w:val="auto"/>
                <w:vertAlign w:val="superscript"/>
              </w:rPr>
              <w:t>(3)(4)</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Dan</w:t>
            </w:r>
          </w:p>
        </w:tc>
        <w:tc>
          <w:tcPr>
            <w:tcW w:w="1180" w:type="dxa"/>
            <w:vAlign w:val="bottom"/>
            <w:gridSpan w:val="2"/>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rPr>
              <w:t>II</w:t>
            </w:r>
          </w:p>
        </w:tc>
        <w:tc>
          <w:tcPr>
            <w:tcW w:w="980" w:type="dxa"/>
            <w:vAlign w:val="bottom"/>
            <w:shd w:val="clear" w:color="auto" w:fill="CCEEFF"/>
          </w:tcPr>
          <w:p>
            <w:pPr>
              <w:jc w:val="center"/>
              <w:ind w:left="550"/>
              <w:spacing w:after="0" w:line="189" w:lineRule="exact"/>
              <w:rPr>
                <w:sz w:val="20"/>
                <w:szCs w:val="20"/>
                <w:color w:val="auto"/>
              </w:rPr>
            </w:pPr>
            <w:r>
              <w:rPr>
                <w:rFonts w:ascii="Arial" w:cs="Arial" w:eastAsia="Arial" w:hAnsi="Arial"/>
                <w:sz w:val="18"/>
                <w:szCs w:val="18"/>
                <w:color w:val="auto"/>
                <w:w w:val="89"/>
              </w:rPr>
              <w:t>59</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left="450"/>
              <w:spacing w:after="0" w:line="189" w:lineRule="exact"/>
              <w:rPr>
                <w:sz w:val="20"/>
                <w:szCs w:val="20"/>
                <w:color w:val="auto"/>
              </w:rPr>
            </w:pPr>
            <w:r>
              <w:rPr>
                <w:rFonts w:ascii="Arial" w:cs="Arial" w:eastAsia="Arial" w:hAnsi="Arial"/>
                <w:sz w:val="18"/>
                <w:szCs w:val="18"/>
                <w:color w:val="auto"/>
                <w:w w:val="89"/>
              </w:rPr>
              <w:t>Lead</w:t>
            </w:r>
          </w:p>
        </w:tc>
        <w:tc>
          <w:tcPr>
            <w:tcW w:w="1340" w:type="dxa"/>
            <w:vAlign w:val="bottom"/>
            <w:shd w:val="clear" w:color="auto" w:fill="CCEEFF"/>
          </w:tcPr>
          <w:p>
            <w:pPr>
              <w:jc w:val="center"/>
              <w:ind w:left="530"/>
              <w:spacing w:after="0" w:line="189" w:lineRule="exact"/>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left="550"/>
              <w:spacing w:after="0" w:line="189" w:lineRule="exact"/>
              <w:rPr>
                <w:sz w:val="20"/>
                <w:szCs w:val="20"/>
                <w:color w:val="auto"/>
              </w:rPr>
            </w:pPr>
            <w:r>
              <w:rPr>
                <w:rFonts w:ascii="Arial" w:cs="Arial" w:eastAsia="Arial" w:hAnsi="Arial"/>
                <w:sz w:val="18"/>
                <w:szCs w:val="18"/>
                <w:color w:val="auto"/>
                <w:w w:val="89"/>
              </w:rPr>
              <w:t>2024</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53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7"/>
        </w:trPr>
        <w:tc>
          <w:tcPr>
            <w:tcW w:w="16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6"/>
                <w:szCs w:val="16"/>
                <w:color w:val="auto"/>
              </w:rPr>
              <w:t>Scheinman</w:t>
            </w:r>
            <w:r>
              <w:rPr>
                <w:rFonts w:ascii="Arial" w:cs="Arial" w:eastAsia="Arial" w:hAnsi="Arial"/>
                <w:sz w:val="20"/>
                <w:szCs w:val="20"/>
                <w:color w:val="auto"/>
                <w:vertAlign w:val="superscript"/>
              </w:rPr>
              <w:t>(1)(2)(5)</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7" w:lineRule="exact"/>
              <w:rPr>
                <w:sz w:val="20"/>
                <w:szCs w:val="20"/>
                <w:color w:val="auto"/>
              </w:rPr>
            </w:pPr>
            <w:r>
              <w:rPr>
                <w:rFonts w:ascii="Arial" w:cs="Arial" w:eastAsia="Arial" w:hAnsi="Arial"/>
                <w:sz w:val="18"/>
                <w:szCs w:val="18"/>
                <w:color w:val="auto"/>
                <w:w w:val="87"/>
              </w:rPr>
              <w:t>Independent</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Cybersecurity Risk Management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Carl M. Eschenbach. </w:t>
      </w:r>
      <w:r>
        <w:rPr>
          <w:rFonts w:ascii="Arial" w:cs="Arial" w:eastAsia="Arial" w:hAnsi="Arial"/>
          <w:sz w:val="17"/>
          <w:szCs w:val="17"/>
          <w:color w:val="auto"/>
        </w:rPr>
        <w:t>Mr. Eschenbach has served as a member of our Board of Directors since November 2016. Since April 2016, Mr. Eschenbach</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a general partner at Sequoia Capital Operations, LLC, a venture capital firm. Prior to joining Sequoia Capital Operations, LLC, Mr. Eschenbach spent 14 years at VMware, Inc. (“VMware”), a virtualization and cloud infrastructure solutions company. He most recently served as VMware's President and Chief Operating Officer, a role he held from December 2012 to March 2016, and he previously served as VMware’s Co-President and Chief Operating Officer from April 2012 to December 2012, its Co-President, Customer Operations from January 2011 to April 2012, and its Executive Vice President of Worldwide Field Operations from May 2005 to January 2011. Prior to joining VMware in 2002, Mr. Eschenbach held various sales management positions with Inktomi Corporation, 3Com Corporation, Lucent Technologies Inc., and Dell EMC. He currently serves on the boards of directors of Palo Alto Networks, Inc. ("Palo Alto Networks"), a global</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0" w:gutter="0" w:footer="0" w:header="0"/>
          <w:type w:val="continuous"/>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both"/>
        <w:ind w:right="20"/>
        <w:spacing w:after="0" w:line="259" w:lineRule="auto"/>
        <w:rPr>
          <w:sz w:val="20"/>
          <w:szCs w:val="20"/>
          <w:color w:val="auto"/>
        </w:rPr>
      </w:pPr>
      <w:r>
        <w:rPr>
          <w:rFonts w:ascii="Arial" w:cs="Arial" w:eastAsia="Arial" w:hAnsi="Arial"/>
          <w:sz w:val="18"/>
          <w:szCs w:val="18"/>
          <w:color w:val="auto"/>
        </w:rPr>
        <w:t>cybersecurity company, Workday, Inc. ("Workday"), a leading provider of enterprise cloud applications, Snowflake Inc. ("Snowflake"), a cloud data platform company, UiPath, Inc. (“UiPath”), an enterprise automation software company, and Aurora Innovation, Inc. ("Aurora Innovation"), a self-driving car technology company. Mr. Eschenbach is also a director of several private companies. Mr. Eschenbach received an electronics technician diploma from DeVry University.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recognizes that certain institutional investors and proxy advisory firms may deem Mr. Eschenbach overboarded based on the number of public company boards on which he serves. However, our Board of Directors does not believe that Mr. Eschenbach’s outside boards or other commitments limit his ability to devote sufficient time and attention to his duties as a director of Zoom, but instead believes that his experience on the boards of directors of other public companies, as well has his significant expertise in the technology industry, provides him with insight and experience that enhances his value to our Board of Directors and will ultimately benefit us. Our Board of Directors believes that Mr. Eschenbach has demonstrated, and will continue to demonstrate, his ability to dedicate sufficient time to carry out his Board of Directors duties effectively and believes that it is in the Company’s best interest that he continue to serve as a director for the following additional reasons:</w:t>
      </w:r>
    </w:p>
    <w:p>
      <w:pPr>
        <w:spacing w:after="0" w:line="177" w:lineRule="exact"/>
        <w:rPr>
          <w:sz w:val="20"/>
          <w:szCs w:val="20"/>
          <w:color w:val="auto"/>
        </w:rPr>
      </w:pPr>
    </w:p>
    <w:p>
      <w:pPr>
        <w:jc w:val="both"/>
        <w:ind w:left="660" w:hanging="328"/>
        <w:spacing w:after="0" w:line="27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Two of the other public companies at which Mr. Eschenbach serves as a board member recently completed initial public offerings (UiPath in April 2021 and Aurora Innovation in November 2021) and each is an emerging growth company within the meaning of applicable SEC rules. Because Mr. Eschenbach served on each company’s board of directors prior to its initial public offering, our Board of Directors believes that Mr. Eschenbach should be given sufficient time to evaluate his commitments to his outside boards and that his service on these boards following their transition from private to public companies does not detract from his service on our Board of Directors.</w:t>
      </w:r>
    </w:p>
    <w:p>
      <w:pPr>
        <w:spacing w:after="0" w:line="176"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Eschenbach has served tirelessly on our Board of Directors for over five years and has assured our Board of Directors that he is fully committed to continuing to dedicate the appropriate amount of time to fulfill his duties as a member of the Board of Directors and Audit Committee. Mr. Eschenbach’s attendance record demonstrates his commitment to our Board of Directors.</w:t>
      </w:r>
    </w:p>
    <w:p>
      <w:pPr>
        <w:spacing w:after="0" w:line="18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Eschenbach is consistently prepared and has exemplary participation at meetings of the Board of Directors and Audit Committee, as demonstrated by his insightful questions and comments, and he contributes significantly to discussions and decision making.</w:t>
      </w:r>
    </w:p>
    <w:p>
      <w:pPr>
        <w:spacing w:after="0" w:line="14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Eschenbach’s extensive experience in senior management positions in the technology industry provides significant industry knowledge and operational and management expertise to our Board of Directors.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expansion of virtual meeting technology, including Zoom’s industry-leading video communications platform, has enhanced Mr. Eschenbach’s ability to be a highly engaged, responsive, and reliable member of our Board of Directors and each of his outside boards. This is particularly true at Zoom, where all Board of Directors and committee meetings are currently held using the Zoom platform.</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William R. McDermott. </w:t>
      </w:r>
      <w:r>
        <w:rPr>
          <w:rFonts w:ascii="Arial" w:cs="Arial" w:eastAsia="Arial" w:hAnsi="Arial"/>
          <w:sz w:val="18"/>
          <w:szCs w:val="18"/>
          <w:color w:val="auto"/>
        </w:rPr>
        <w:t>Mr. McDermott has served as a member of our Board of Directors since March 2022. Since November 2019, Mr.</w:t>
      </w:r>
      <w:r>
        <w:rPr>
          <w:rFonts w:ascii="Arial" w:cs="Arial" w:eastAsia="Arial" w:hAnsi="Arial"/>
          <w:sz w:val="18"/>
          <w:szCs w:val="18"/>
          <w:i w:val="1"/>
          <w:iCs w:val="1"/>
          <w:color w:val="auto"/>
        </w:rPr>
        <w:t xml:space="preserve"> </w:t>
      </w:r>
      <w:r>
        <w:rPr>
          <w:rFonts w:ascii="Arial" w:cs="Arial" w:eastAsia="Arial" w:hAnsi="Arial"/>
          <w:sz w:val="18"/>
          <w:szCs w:val="18"/>
          <w:color w:val="auto"/>
        </w:rPr>
        <w:t>McDermott has served as the Chief Executive Officer and a member of the board of directors of ServiceNow, Inc. (“ServiceNow”), a public digital workflow company.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currently serves on the board of directors of Fisker Inc., an automotive technology company. Mr. McDermott previously served on the board of directors of Under Armour, Inc., a sporting goods company, ANSYS, Inc., a provider of engineering and simulation software and technologies, and SecureWorks Corp., a provider of intelligence-driven information security solutions. Mr. McDermott received a B.A. in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management from Dowling College, received his M.B.A from Northwestern University’s Kellogg School of Management and completed the Executive Development Program at the Wharton School of Business.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recognizes that certain institutional investors and proxy advisory firms may deem Mr. McDermott overboarded based on the number of public company boards on which he serves. However, our Board of Directors does not believe that Mr. McDermott’s outside boards or other commitments limit his ability to devote sufficient time and attention to his duties as a director of Zoom, but instead believes that his extensive executive experience in the technology industry, including his leadership experience as a Chief Executive Officer of a leading global business, and his service on the boards of directors of various public companies provides him with insight and experience that enhances his value to our Board of Directors and will ultimately benefit us. Our Board of Directors believes that Mr. McDermott has demonstrated, and will continue to demonstrate, his ability to dedicate sufficient time to carry out his Board of Directors duties effectively and believes that it is in the Company’s best interest that he continue to serve as a director for the following additional reasons:</w:t>
      </w:r>
    </w:p>
    <w:p>
      <w:pPr>
        <w:spacing w:after="0" w:line="192"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Mr. McDermott joined our Board of Directors in March 2022, our Board of Directors believes he should be given sufficient time to evaluate his commitments to his outside boards. Mr. McDermott has assured our Board of Directors that he is fully committed to continuing to dedicate the appropriate amount of time to fulfill his duties as a member of the Board of Directors.</w:t>
      </w:r>
    </w:p>
    <w:p>
      <w:pPr>
        <w:spacing w:after="0" w:line="183"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Zoom, Fisker, and ServiceNow are each headquartered in California, where Mr. McDermott resides. Accordingly, limited travel is required to attend any in-person meetings held by each of Mr. McDermott’s boards, and the expansion of virtual meeting technology, including Zoom’s industry-leading video communications platform, has only enhanced his ability to be a highly engaged, responsive, and reliable member of each board. This is particularly true at Zoom, where all Board of Directors and committee meetings are currently held using the Zoom platform.</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Janet Napolitano</w:t>
      </w:r>
      <w:r>
        <w:rPr>
          <w:rFonts w:ascii="Arial" w:cs="Arial" w:eastAsia="Arial" w:hAnsi="Arial"/>
          <w:sz w:val="18"/>
          <w:szCs w:val="18"/>
          <w:color w:val="auto"/>
        </w:rPr>
        <w:t>. Ms. Napolitano has served as a member of our Board of Directors since November 2020. Ms. Napolitano is a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California Berkeley’s Goldman School of Public Policy.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Ms. Napolitano currently serves on the board of directors of Vir Biotechnology, Inc., a clinical-stage immunology company. Ms. Napolitano holds a B.S. in political science from Santa Clara University and a J.D. from the University of Virginia School of Law.</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Napolitano is qualified to serve as a member of our Board of Directors because of her extensive leadership experience in both education and government.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Santiago Subotovsky. </w:t>
      </w:r>
      <w:r>
        <w:rPr>
          <w:rFonts w:ascii="Arial" w:cs="Arial" w:eastAsia="Arial" w:hAnsi="Arial"/>
          <w:sz w:val="18"/>
          <w:szCs w:val="18"/>
          <w:color w:val="auto"/>
        </w:rPr>
        <w:t>Mr. Subotovsky has served as a member of our Board of Directors since December 2014. Mr. Subotovsky is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Emergence Capital, a venture capital firm, and has been with that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market knowledge and his experience serving as a director of various private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Mr. Yuan is the founder of our company and has served as the Chairman of our Board of Directors,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since June 2011. From May 2007 to June 2011, Mr. Yuan served as Corporate Vice President of Engineering at Cisco Systems, Inc. ("Cisco"), a multinational technology company.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Yuan served in various roles, most recently as Vice President of Engineering, at WebEx Communications, Inc. ("WebEx"), an internet company, from August 1997 until its acquisition by Cisco in May 2007. Mr. Yuan holds a Bachelor’s degree in Applied Math from Shandong University of Science &amp; Technology and a Master’s degree in engineering from China University of Mining &amp; Technology.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a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i w:val="1"/>
          <w:iCs w:val="1"/>
          <w:color w:val="auto"/>
        </w:rPr>
        <w:t>Lieut. Gen. H.R. McMaster, U.S. Army, retired</w:t>
      </w:r>
      <w:r>
        <w:rPr>
          <w:rFonts w:ascii="Arial" w:cs="Arial" w:eastAsia="Arial" w:hAnsi="Arial"/>
          <w:sz w:val="18"/>
          <w:szCs w:val="18"/>
          <w:color w:val="auto"/>
        </w:rPr>
        <w:t>. General McMaster has served as a member of our Board of Directors since May 2020.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General McMaster was the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General McMaster is qualified to serve as a member of our Board of Directors because of his significant experience in leading large organizations, his knowledge of foreign affairs, and his expertise in strategic assessment and planning.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Jonathan Chadwick. </w:t>
      </w:r>
      <w:r>
        <w:rPr>
          <w:rFonts w:ascii="Arial" w:cs="Arial" w:eastAsia="Arial" w:hAnsi="Arial"/>
          <w:sz w:val="17"/>
          <w:szCs w:val="17"/>
          <w:color w:val="auto"/>
        </w:rPr>
        <w:t>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From March 2011 until October 2011, he served as the Chief Financial Officer of Skype Communication S.a.r.l., a voice over IP (VoIP) service company, and from October 2011 until November 2012, as a Corporate Vice President of Microsoft Corporation, a technology company, after its acquisition of Skype Communication S.a.r.l.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He also worked for Coopers &amp; Lybrand, an accounting firm (now PricewaterhouseCoopers) in various roles in the United States and United Kingdom. He currently serves on the boards of directors of ServiceNow, Elastic N.V., a search and data analysis company, Confluent, Inc., a data infrastructure company, Samsara Inc., an IoT software company, and various private companies. He previously served on the board of directors of Cognizant Technology 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16" w:name="page17"/>
    <w:bookmarkEnd w:id="16"/>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Kimberly L. Hammonds. </w:t>
      </w:r>
      <w:r>
        <w:rPr>
          <w:rFonts w:ascii="Arial" w:cs="Arial" w:eastAsia="Arial" w:hAnsi="Arial"/>
          <w:sz w:val="17"/>
          <w:szCs w:val="17"/>
          <w:color w:val="auto"/>
        </w:rPr>
        <w:t>Ms. Hammonds has served as a member of our Board of Directors since September 2018. Ms. Hammonds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had led IT systems development for manufacturing operations in the Americas, and directed global IT reliability and factory systems since 2007. Ms. Hammonds currently serves on the boards of directors of Box, Inc., an enterprise cloud content and file sharing provider, Tenable Holdings, Inc., a provider of cybersecurity solutions, and UiPath. Ms. Hammonds previously served on the boards of directors of Cloudera, Inc., a data management, machine learning and advance analytics platform provider, and Red Hat, a provider of open source solutions. Ms. Hammonds holds a B.S.E. from the University of Michigan at Ann Arbor and an MBA from Western Michigan University.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 Scheinman. </w:t>
      </w:r>
      <w:r>
        <w:rPr>
          <w:rFonts w:ascii="Arial" w:cs="Arial" w:eastAsia="Arial" w:hAnsi="Arial"/>
          <w:sz w:val="18"/>
          <w:szCs w:val="18"/>
          <w:color w:val="auto"/>
        </w:rPr>
        <w:t>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most recently as Senior Vice President, Cisco Media Solutions Group. He currently serves on the boards of directors of Arista Networks, Inc., a cloud networking company, SentinelOne, Inc., a cybersecurity company, and several private companies. Mr. Scheinman holds a B.A. degree in Politics from Brandeis University and a J.D. from the Duke University School of Law.</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200" w:lineRule="exact"/>
        <w:rPr>
          <w:sz w:val="20"/>
          <w:szCs w:val="20"/>
          <w:color w:val="auto"/>
        </w:rPr>
      </w:pPr>
    </w:p>
    <w:p>
      <w:pPr>
        <w:spacing w:after="0" w:line="2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provides information related to the composition of our Board members and nominees. Each of the categories listed in the below table has the meaning as it is used in Nasdaq Rule 5605(f).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Diversity Matrix (as of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46355</wp:posOffset>
            </wp:positionV>
            <wp:extent cx="5417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Total Number of Directors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gridSpan w:val="2"/>
          </w:tcPr>
          <w:p>
            <w:pPr>
              <w:jc w:val="right"/>
              <w:ind w:right="1139"/>
              <w:spacing w:after="0"/>
              <w:rPr>
                <w:sz w:val="20"/>
                <w:szCs w:val="20"/>
                <w:color w:val="auto"/>
              </w:rPr>
            </w:pPr>
            <w:r>
              <w:rPr>
                <w:rFonts w:ascii="Arial" w:cs="Arial" w:eastAsia="Arial" w:hAnsi="Arial"/>
                <w:sz w:val="16"/>
                <w:szCs w:val="16"/>
                <w:color w:val="auto"/>
                <w:w w:val="78"/>
              </w:rPr>
              <w:t>10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55"/>
        </w:trPr>
        <w:tc>
          <w:tcPr>
            <w:tcW w:w="3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82"/>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6"/>
                <w:szCs w:val="16"/>
                <w:b w:val="1"/>
                <w:bCs w:val="1"/>
                <w:color w:val="333333"/>
                <w:w w:val="92"/>
              </w:rPr>
              <w:t>Did Not Disclose</w:t>
            </w:r>
          </w:p>
        </w:tc>
      </w:tr>
      <w:tr>
        <w:trPr>
          <w:trHeight w:val="223"/>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333333"/>
              </w:rPr>
              <w:t>Female</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333333"/>
              </w:rPr>
              <w:t>Male</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333333"/>
              </w:rPr>
              <w:t>Non-Binary</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333333"/>
              </w:rPr>
              <w:t>Gender</w:t>
            </w:r>
          </w:p>
        </w:tc>
      </w:tr>
      <w:tr>
        <w:trPr>
          <w:trHeight w:val="223"/>
        </w:trPr>
        <w:tc>
          <w:tcPr>
            <w:tcW w:w="4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 Gender Identity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Directors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II: Demographic Background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African American or Black</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Alaskan Native or Native American</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Asian</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Hispanic or Latinx</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Native Hawaiian or Pacific Islander</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White</w:t>
            </w: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Two or More Races or Ethnicities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67"/>
        </w:trPr>
        <w:tc>
          <w:tcPr>
            <w:tcW w:w="4200" w:type="dxa"/>
            <w:vAlign w:val="bottom"/>
            <w:gridSpan w:val="3"/>
          </w:tcPr>
          <w:p>
            <w:pPr>
              <w:ind w:left="20"/>
              <w:spacing w:after="0"/>
              <w:rPr>
                <w:sz w:val="20"/>
                <w:szCs w:val="20"/>
                <w:color w:val="auto"/>
              </w:rPr>
            </w:pPr>
            <w:r>
              <w:rPr>
                <w:rFonts w:ascii="Arial" w:cs="Arial" w:eastAsia="Arial" w:hAnsi="Arial"/>
                <w:sz w:val="16"/>
                <w:szCs w:val="16"/>
                <w:color w:val="333333"/>
              </w:rPr>
              <w:t>LGBTQ+</w:t>
            </w: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73"/>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333333"/>
              </w:rPr>
              <w:t>Did Not Disclose Demographic Background</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each of Mses. Hammonds and Napolitano, General McMaster, and Messrs. Chadwick, Eschenbach, Gassner, McDermott, Scheinman, and Subotovsky do not have a relationship with the company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Stock Market. Bart Swanson, who served on our Board of Directors for all of fiscal year 2022, was also independent during his time on our Board of Directors.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Eric S. Yuan currently serves as both the Chairman of our Board of Directors and as our Chief Executive Officer. Our independent directors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Stockholder Meetings and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our fiscal year ended January 31, 2022, our Board of Directors held 11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We encourage our directors to attend our annual meeting of stockholders. All of our then-serving directors attended the annual meeting of stockholders in 2021.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Cybersecurity Risk Management Committee. The composition and responsibilities of each of the committees of our Board of Directors is described below. Members will serve on these committees until their resignation or until otherwise determined by our Board of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2022, our Audit Committee held 16 meetings.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Compensation Committee consists of Messrs. Scheinman and Subotovsky. The chair of our Compensation Committee is Mr. Scheinman. Mr. Swanson also served on our Compensation Committee during fiscal year 2022 and until his resignation from our Board of Directors in March 2022. Our Board of Directors has determined that each member of the Compensation Committee is independent, and that Mr. Swanson during his time on the Compensation Committee was independent, under the listing standards of The Nasdaq Stock Market, and each member of the Compensation Committee is, and Mr. Swanson during his time on the Compensation Committee was, a “non-employee director” as defined in Rule 16b-3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98"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83"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2022, our Compensation Committee held four meetings.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Nominating and Corporate Governance Committee consists of Ms. Hammonds and Mr. Subotovsky. The chair of our Nominating and Corporate Governance Committee is Mr. Subotovsky. Mr. Swanson also served on our Nominating and Corporate Governance Committee during fiscal year 2022 and until his resignation from our Board of Directors in March 2022. Our Board of Directors has determined that each member of the Nominating and Corporate Governance Committee is, and that Mr. Swanson during his time on the Nominating and Corporate Governance Committee was, independent under the listing standards of The Nasdaq Stock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980" w:right="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related matters;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company’s practices and initiatives with respect to environmental, social and governance (“ESG”) matters expected to have a significant impact on our company’s performance, business activities or reputation;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company’s succession planning process for our Chief Executive Officer and other members our executive management team, and assisting our Board of Directors in evaluating potential successors for these roles.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2022, our Nominating and Corporate Governance Committee held four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Cybersecurity Risk Management Committee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Cybersecurity Risk Management Committee consists of Ms. Hammonds, General McMaster and Ms. Napolitano. The chair of our Cybersecurity Risk Management Committee is Ms. Hammonds.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Cybersecurity Risk Management Committee include:</w:t>
      </w:r>
    </w:p>
    <w:p>
      <w:pPr>
        <w:spacing w:after="0" w:line="225" w:lineRule="exact"/>
        <w:rPr>
          <w:sz w:val="20"/>
          <w:szCs w:val="20"/>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quality and effectiveness of our policies and procedures with respect to our information technology and network systems, including encryption, network security and data security, as well as access to such systems;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and providing oversight on our policies and procedures in preparation for responding to any data security incidents; and</w:t>
      </w:r>
    </w:p>
    <w:p>
      <w:pPr>
        <w:spacing w:after="0" w:line="223" w:lineRule="exact"/>
        <w:rPr>
          <w:rFonts w:ascii="Arial" w:cs="Arial" w:eastAsia="Arial" w:hAnsi="Arial"/>
          <w:sz w:val="17"/>
          <w:szCs w:val="17"/>
          <w:color w:val="auto"/>
        </w:rPr>
      </w:pPr>
    </w:p>
    <w:p>
      <w:pPr>
        <w:ind w:left="980" w:right="420" w:hanging="324"/>
        <w:spacing w:after="0" w:line="307" w:lineRule="auto"/>
        <w:tabs>
          <w:tab w:leader="none" w:pos="9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copy of the charter of our Cybersecurity Risk Management Committee is available on our website at https://investors.zoom.us/corporate-governance. During our fiscal year ended January 31, 2022, our Cybersecurity Risk Management Committee held three meetings.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mentioned above, our Compensation Committee consists of Messrs. Scheinman and Subotovsky. Mr. Swanson also served on our Compensation Committee during fiscal year 2022 and until his resignation from our Board of Directors in March 2022.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21" w:name="page22"/>
    <w:bookmarkEnd w:id="21"/>
    <w:p>
      <w:pPr>
        <w:jc w:val="both"/>
        <w:ind w:firstLine="648"/>
        <w:spacing w:after="0" w:line="273" w:lineRule="auto"/>
        <w:rPr>
          <w:sz w:val="20"/>
          <w:szCs w:val="20"/>
          <w:color w:val="auto"/>
        </w:rPr>
      </w:pPr>
      <w:r>
        <w:rPr>
          <w:rFonts w:ascii="Arial" w:cs="Arial" w:eastAsia="Arial" w:hAnsi="Arial"/>
          <w:sz w:val="17"/>
          <w:szCs w:val="17"/>
          <w:color w:val="auto"/>
        </w:rPr>
        <w:t>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factors, including race, ethnicity, gender, age and sexual orientation, among others.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General Counsel or our Legal Department in writing.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Under our amended and restated bylaws, stockholders may also nominate persons for our Board of Directors. Any nomination must comply with the requirements set forth in our amended and restated bylaws and should be sent in writing to our General Counsel or our Legal Department at Zoom Video Communications, Inc., 55 Almaden Blvd.,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San Jose, California 95113. To be timely for our 2023 annual meeting of stockholders, our General Counsel or Legal Department must receive the nomination no earlier than February 16, 2023 and no later than March 18,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General Counsel at Zoom Video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General Counsel,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website at https://investors.zoom.us/corporate-governance. We will post amendments to our Code of Business Conduct and Ethics or waivers of our Code of Business Conduct and Ethics for directors and executive officers on the same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Cybersecurity Risk Management Committee and our Board of Directors address the primary cybersecurity risks associated with our business.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(a) considering input from the Zoom cybersecurity team and others to better understand the threats to the security of Zoom's services and their impact on Zoom’s business and (b) evaluating methods for validating the effectiveness of Zoom’s cybersecurity efforts.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Short Sales and Pledging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of Directors has adopted an insider trading policy, which prohibits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A common stock, purchasing our Class A common stock on margin or holding it in a margin account and pledging our shares as collateral for a loan.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Further, our insider trading policy provides that our directors and executive officers may only trade in our securities through a 10b5-1 trading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ESG considerations are a key part of our overall business strategy and we are committed to maintaining a strong ESG program and reporting transparently on our ESG initiatives. We are dedicated to delivering happiness to and caring for our community, customers, and employees. We seek to make the world a better place by providing technology that connects people and organizations, facilitates dialogue, enables education and inclusivity, enhances productivity, facilitates reductions in carbon emissions, and much more. In May 2022, we are releasing our inaugural ESG Report, which includes information regarding our ESG initiatives and policies, our environmental performance, our commitment to reaching 100% renewable electricity in our operations by 2030, our workforce diversity data, and an index aligned to the Sustainability Accounting Standards Board (SASB) reporting standards. This report, along with further information about our ESG initiatives and policies, will be available on our website. Content available on our website is not incorporated herein and is not part of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a Non-Employee Director Compensation Policy which provides for cash and equity compensation to directors who are not also serving as an employee or consultant to us (each an “Eligible Director”). The Non-Employee Director Compensation Policy was originally approved by our Board of Directors and effective in May 2019. Our Compensation Committee and Board of Directors periodically review the compensation for our Eligible Directors, with the assistance of their independent compensation consultant, Aon, including by reference to the peer group of companies used for executive compensation purposes and general trends and best practices in our industry for director compensation. The Non-Employee Director Compensation Policy in place during fiscal 2022 is described below, and had been most recently reviewed and updated by the Compensation Committee and Board of Directors effective in fiscal 2021 after carefully considering market data analysis and recommendations from Aon as well as the increased demands on and time commitment required by our directors. No changes were made to our Non-Employee Director Compensation Policy during fiscal 2022. Our Compensation Committee and Board of Directors again evaluated our Non-Employee Director Compensation Policy and approved certain changes in early fiscal 2023, which are described below under “Early Fiscal 2023 Changes”.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Annual Cash Compensation</w:t>
      </w:r>
    </w:p>
    <w:p>
      <w:pPr>
        <w:spacing w:after="0" w:line="225"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Eligible Directors: $45,000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or Lead Independent Director (in lieu of above): $65,000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Member of the Audit Committee: $12,500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Member of the Compensation Committee: $10,000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Member of the Cybersecurity Risk Management Committee: $10,000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of the Audit Committee: $25,000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of the Compensation Committee: $20,000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$10,000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Chairperson of the Cybersecurity Risk Management Committee: $20,000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u w:val="single" w:color="auto"/>
          <w:color w:val="auto"/>
        </w:rPr>
        <w:t>Equity Compensation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Restricted stock unit awards (“RSUs”) granted under our Non-Employee Director Compensation Policy during fiscal 2022 were structured to compensate Eligible Directors over a three-year period, or such shorter period of time that corresponds with an Eligible Director’s expected term on our Board of Directors. As a result, RSU grant values under our Non-Employee Director Compensation Policy may be higher than the grant values of other companies that make annual RSU grants to each of their directors every year, as our RSU grants occur less frequently.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Non-Employee Director Compensation Policy terms in place for fiscal 2022, each Eligible Director is eligible to receive an RSU award calculated based on a grant value of $600,000 (the “Target RSU”). The RSU award is automatically granted to each Eligible Director at the following times and is pro-rated as described below.</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Initial Appointment: </w:t>
      </w:r>
      <w:r>
        <w:rPr>
          <w:rFonts w:ascii="Arial" w:cs="Arial" w:eastAsia="Arial" w:hAnsi="Arial"/>
          <w:sz w:val="18"/>
          <w:szCs w:val="18"/>
          <w:color w:val="auto"/>
        </w:rPr>
        <w:t>At the time an Eligible Director first joins the Board of Directors, such Eligible Director would receive the Target RSU.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Eligible Director’s initial election or appointment to the Board of Directors (such period, the “initial term”) is less than three years, the Target RSU will be pro-rated by the percentage obtained by dividing the total number of expected calendar days in the Eligible Director’s initial term by the total number of calendar days following the date of the Eligible Director’s initial election or appointment through and including the third anniversary of such date.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Re-Election: </w:t>
      </w:r>
      <w:r>
        <w:rPr>
          <w:rFonts w:ascii="Arial" w:cs="Arial" w:eastAsia="Arial" w:hAnsi="Arial"/>
          <w:sz w:val="16"/>
          <w:szCs w:val="16"/>
          <w:color w:val="auto"/>
        </w:rPr>
        <w:t>On the date of each of our annual meeting of stockholders, each Eligible Director who is (i) nominated at such annual meeting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re-elected to the Board of Directors to serve a three-year term (such period, the “re-elected term”), (ii) continues to serve as a non-employee member of the Board of Directors and (iii) does not hold any outstanding unvested equity award as of the date of such meeting, would be granted the Target RSU.</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adjust Eligible Directors to the above schedule after our IPO, each Eligible Director who held an unvested equity award as of the original May 2019 effective date of the Non-Employee Director Compensation Policy would receive, at the time such unvested award becomes fully vested, a Target RSU, pro-rated for the period of time remaining in such Eligible Director’s term by multiplying the Target RSU by the percentage obtained by dividing the total number of expected calendar days that remain in the Eligible Director’s term (such period, the “interim term”) by the total number of calendar days following the final vesting date through and including the third anniversary of such date.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of the RSUs granted under the Non-Employee Director Compensation Policy are granted under the 2019 Equity Incentive Plan (the “2019 Plan”) and vest in substantially equal quarterly installments over the Eligible Director’s expected applicable term, provided that if our annual meeting of stockholders at which the scheduled term ends occurs prior to the last vesting date, the award will become fully vested as of the day immediately preceding the annual meeting date, subject to the Eligible Director’s continuous service (as defined in the 2019 Plan) through each such applicable vesting date. 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number of shares underlying each RSU award granted under the Non-Employee Director Compensation Policy is determined by dividing the Target RSU (as pro-rated if applicable) by a 60-trading day trailing average closing stock price of our Class A common stock. The Compensation Committee uses the 60-trading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value of an award as required to be reported in the Director Compensation Table under ASC 718 being higher or lower than the Target RSU value, but has considered, in consultation with Aon, various approaches to granting equity awards, each of which have advantages and disadvantages, and determined that the process described above is the most appropriate for Zoom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Non-Employee Director Compensation for Fiscal Year 2022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that was earned by each of our non-employee directors in our fiscal year ended January 31, 2022.</w:t>
      </w:r>
    </w:p>
    <w:p>
      <w:pPr>
        <w:spacing w:after="0" w:line="190" w:lineRule="exact"/>
        <w:rPr>
          <w:sz w:val="20"/>
          <w:szCs w:val="20"/>
          <w:color w:val="auto"/>
        </w:rPr>
      </w:pPr>
    </w:p>
    <w:tbl>
      <w:tblPr>
        <w:tblLayout w:type="fixed"/>
        <w:tblInd w:w="250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82"/>
              </w:rPr>
              <w:t>Fees</w:t>
            </w:r>
          </w:p>
        </w:tc>
        <w:tc>
          <w:tcPr>
            <w:tcW w:w="166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Director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4"/>
              </w:rPr>
              <w:t>Earned or Paid in</w:t>
            </w:r>
          </w:p>
        </w:tc>
        <w:tc>
          <w:tcPr>
            <w:tcW w:w="1660" w:type="dxa"/>
            <w:vAlign w:val="bottom"/>
            <w:gridSpan w:val="2"/>
            <w:vMerge w:val="continue"/>
          </w:tcPr>
          <w:p>
            <w:pPr>
              <w:spacing w:after="0"/>
              <w:rPr>
                <w:sz w:val="14"/>
                <w:szCs w:val="14"/>
                <w:color w:val="auto"/>
              </w:rPr>
            </w:pPr>
          </w:p>
        </w:tc>
        <w:tc>
          <w:tcPr>
            <w:tcW w:w="152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77"/>
        </w:trPr>
        <w:tc>
          <w:tcPr>
            <w:tcW w:w="1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Cash ($)</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Awards ($)</w:t>
            </w:r>
            <w:r>
              <w:rPr>
                <w:rFonts w:ascii="Arial" w:cs="Arial" w:eastAsia="Arial" w:hAnsi="Arial"/>
                <w:sz w:val="21"/>
                <w:szCs w:val="21"/>
                <w:b w:val="1"/>
                <w:bCs w:val="1"/>
                <w:color w:val="auto"/>
                <w:vertAlign w:val="superscript"/>
              </w:rPr>
              <w:t>(1)(2)</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Jonathan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Chadwick</w:t>
            </w:r>
            <w:r>
              <w:rPr>
                <w:rFonts w:ascii="Arial" w:cs="Arial" w:eastAsia="Arial" w:hAnsi="Arial"/>
                <w:sz w:val="21"/>
                <w:szCs w:val="21"/>
                <w:color w:val="auto"/>
                <w:vertAlign w:val="superscript"/>
              </w:rPr>
              <w:t>(3)</w:t>
            </w:r>
          </w:p>
        </w:tc>
        <w:tc>
          <w:tcPr>
            <w:tcW w:w="2020" w:type="dxa"/>
            <w:vAlign w:val="bottom"/>
            <w:tcBorders>
              <w:bottom w:val="single" w:sz="8" w:color="CCEEFF"/>
            </w:tcBorders>
            <w:gridSpan w:val="3"/>
            <w:shd w:val="clear" w:color="auto" w:fill="CCEEFF"/>
          </w:tcPr>
          <w:p>
            <w:pPr>
              <w:jc w:val="center"/>
              <w:ind w:left="1079"/>
              <w:spacing w:after="0"/>
              <w:rPr>
                <w:sz w:val="20"/>
                <w:szCs w:val="20"/>
                <w:color w:val="auto"/>
              </w:rPr>
            </w:pPr>
            <w:r>
              <w:rPr>
                <w:rFonts w:ascii="Arial" w:cs="Arial" w:eastAsia="Arial" w:hAnsi="Arial"/>
                <w:sz w:val="16"/>
                <w:szCs w:val="16"/>
                <w:color w:val="auto"/>
                <w:w w:val="93"/>
              </w:rPr>
              <w:t>70,000</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85"/>
              </w:rPr>
              <w:t>454,139</w:t>
            </w:r>
            <w:r>
              <w:rPr>
                <w:rFonts w:ascii="Arial" w:cs="Arial" w:eastAsia="Arial" w:hAnsi="Arial"/>
                <w:sz w:val="21"/>
                <w:szCs w:val="21"/>
                <w:color w:val="auto"/>
                <w:w w:val="85"/>
                <w:vertAlign w:val="superscript"/>
              </w:rPr>
              <w:t>(4)</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524,139</w:t>
            </w:r>
          </w:p>
        </w:tc>
        <w:tc>
          <w:tcPr>
            <w:tcW w:w="0" w:type="dxa"/>
            <w:vAlign w:val="bottom"/>
          </w:tcPr>
          <w:p>
            <w:pPr>
              <w:spacing w:after="0"/>
              <w:rPr>
                <w:sz w:val="1"/>
                <w:szCs w:val="1"/>
                <w:color w:val="auto"/>
              </w:rPr>
            </w:pPr>
          </w:p>
        </w:tc>
      </w:tr>
      <w:tr>
        <w:trPr>
          <w:trHeight w:val="166"/>
        </w:trPr>
        <w:tc>
          <w:tcPr>
            <w:tcW w:w="1580" w:type="dxa"/>
            <w:vAlign w:val="bottom"/>
          </w:tcPr>
          <w:p>
            <w:pPr>
              <w:ind w:left="660"/>
              <w:spacing w:after="0" w:line="166" w:lineRule="exact"/>
              <w:rPr>
                <w:sz w:val="20"/>
                <w:szCs w:val="20"/>
                <w:color w:val="auto"/>
              </w:rPr>
            </w:pPr>
            <w:r>
              <w:rPr>
                <w:rFonts w:ascii="Arial" w:cs="Arial" w:eastAsia="Arial" w:hAnsi="Arial"/>
                <w:sz w:val="16"/>
                <w:szCs w:val="16"/>
                <w:color w:val="auto"/>
              </w:rPr>
              <w:t>Carl</w:t>
            </w:r>
          </w:p>
        </w:tc>
        <w:tc>
          <w:tcPr>
            <w:tcW w:w="2140" w:type="dxa"/>
            <w:vAlign w:val="bottom"/>
            <w:gridSpan w:val="4"/>
          </w:tcPr>
          <w:p>
            <w:pPr>
              <w:jc w:val="right"/>
              <w:ind w:right="1760"/>
              <w:spacing w:after="0" w:line="166" w:lineRule="exact"/>
              <w:rPr>
                <w:sz w:val="20"/>
                <w:szCs w:val="20"/>
                <w:color w:val="auto"/>
              </w:rPr>
            </w:pPr>
            <w:r>
              <w:rPr>
                <w:rFonts w:ascii="Arial" w:cs="Arial" w:eastAsia="Arial" w:hAnsi="Arial"/>
                <w:sz w:val="16"/>
                <w:szCs w:val="16"/>
                <w:color w:val="auto"/>
              </w:rPr>
              <w:t>M.</w:t>
            </w:r>
          </w:p>
        </w:tc>
        <w:tc>
          <w:tcPr>
            <w:tcW w:w="154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Eschenbach</w:t>
            </w:r>
          </w:p>
        </w:tc>
        <w:tc>
          <w:tcPr>
            <w:tcW w:w="2020" w:type="dxa"/>
            <w:vAlign w:val="bottom"/>
            <w:gridSpan w:val="3"/>
            <w:vMerge w:val="restart"/>
          </w:tcPr>
          <w:p>
            <w:pPr>
              <w:jc w:val="center"/>
              <w:ind w:left="1079"/>
              <w:spacing w:after="0"/>
              <w:rPr>
                <w:sz w:val="20"/>
                <w:szCs w:val="20"/>
                <w:color w:val="auto"/>
              </w:rPr>
            </w:pPr>
            <w:r>
              <w:rPr>
                <w:rFonts w:ascii="Arial" w:cs="Arial" w:eastAsia="Arial" w:hAnsi="Arial"/>
                <w:sz w:val="16"/>
                <w:szCs w:val="16"/>
                <w:color w:val="auto"/>
                <w:w w:val="93"/>
              </w:rPr>
              <w:t>57,500</w:t>
            </w:r>
          </w:p>
        </w:tc>
        <w:tc>
          <w:tcPr>
            <w:tcW w:w="1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restart"/>
          </w:tcPr>
          <w:p>
            <w:pPr>
              <w:jc w:val="center"/>
              <w:ind w:left="559"/>
              <w:spacing w:after="0"/>
              <w:rPr>
                <w:sz w:val="20"/>
                <w:szCs w:val="20"/>
                <w:color w:val="auto"/>
              </w:rPr>
            </w:pPr>
            <w:r>
              <w:rPr>
                <w:rFonts w:ascii="Arial" w:cs="Arial" w:eastAsia="Arial" w:hAnsi="Arial"/>
                <w:sz w:val="16"/>
                <w:szCs w:val="16"/>
                <w:color w:val="auto"/>
                <w:w w:val="89"/>
              </w:rPr>
              <w:t>57,500</w:t>
            </w:r>
          </w:p>
        </w:tc>
        <w:tc>
          <w:tcPr>
            <w:tcW w:w="0" w:type="dxa"/>
            <w:vAlign w:val="bottom"/>
          </w:tcPr>
          <w:p>
            <w:pPr>
              <w:spacing w:after="0"/>
              <w:rPr>
                <w:sz w:val="1"/>
                <w:szCs w:val="1"/>
                <w:color w:val="auto"/>
              </w:rPr>
            </w:pPr>
          </w:p>
        </w:tc>
      </w:tr>
      <w:tr>
        <w:trPr>
          <w:trHeight w:val="98"/>
        </w:trPr>
        <w:tc>
          <w:tcPr>
            <w:tcW w:w="1580" w:type="dxa"/>
            <w:vAlign w:val="bottom"/>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720" w:type="dxa"/>
            <w:vAlign w:val="bottom"/>
            <w:gridSpan w:val="5"/>
            <w:shd w:val="clear" w:color="auto" w:fill="CCEEFF"/>
          </w:tcPr>
          <w:p>
            <w:pPr>
              <w:ind w:left="660"/>
              <w:spacing w:after="0" w:line="179" w:lineRule="exact"/>
              <w:rPr>
                <w:sz w:val="20"/>
                <w:szCs w:val="20"/>
                <w:color w:val="auto"/>
              </w:rPr>
            </w:pPr>
            <w:r>
              <w:rPr>
                <w:rFonts w:ascii="Arial" w:cs="Arial" w:eastAsia="Arial" w:hAnsi="Arial"/>
                <w:sz w:val="15"/>
                <w:szCs w:val="15"/>
                <w:color w:val="auto"/>
              </w:rPr>
              <w:t>Peter Gassner</w:t>
            </w:r>
            <w:r>
              <w:rPr>
                <w:rFonts w:ascii="Arial" w:cs="Arial" w:eastAsia="Arial" w:hAnsi="Arial"/>
                <w:sz w:val="20"/>
                <w:szCs w:val="20"/>
                <w:color w:val="auto"/>
                <w:vertAlign w:val="superscript"/>
              </w:rPr>
              <w:t>(5)</w:t>
            </w:r>
          </w:p>
        </w:tc>
        <w:tc>
          <w:tcPr>
            <w:tcW w:w="1540" w:type="dxa"/>
            <w:vAlign w:val="bottom"/>
            <w:shd w:val="clear" w:color="auto" w:fill="CCEEFF"/>
          </w:tcPr>
          <w:p>
            <w:pPr>
              <w:jc w:val="center"/>
              <w:ind w:left="559"/>
              <w:spacing w:after="0" w:line="178"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89"/>
              </w:rPr>
              <w:t>45,000</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center"/>
              <w:ind w:left="1079"/>
              <w:spacing w:after="0" w:line="162" w:lineRule="exact"/>
              <w:rPr>
                <w:sz w:val="20"/>
                <w:szCs w:val="20"/>
                <w:color w:val="auto"/>
              </w:rPr>
            </w:pPr>
            <w:r>
              <w:rPr>
                <w:rFonts w:ascii="Arial" w:cs="Arial" w:eastAsia="Arial" w:hAnsi="Arial"/>
                <w:sz w:val="16"/>
                <w:szCs w:val="16"/>
                <w:color w:val="auto"/>
                <w:w w:val="93"/>
              </w:rPr>
              <w:t>45,000</w:t>
            </w: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660"/>
              <w:spacing w:after="0"/>
              <w:rPr>
                <w:sz w:val="20"/>
                <w:szCs w:val="20"/>
                <w:color w:val="auto"/>
              </w:rPr>
            </w:pPr>
            <w:r>
              <w:rPr>
                <w:rFonts w:ascii="Arial" w:cs="Arial" w:eastAsia="Arial" w:hAnsi="Arial"/>
                <w:sz w:val="16"/>
                <w:szCs w:val="16"/>
                <w:color w:val="auto"/>
              </w:rPr>
              <w:t>Kimberly</w:t>
            </w:r>
          </w:p>
        </w:tc>
        <w:tc>
          <w:tcPr>
            <w:tcW w:w="2140" w:type="dxa"/>
            <w:vAlign w:val="bottom"/>
            <w:gridSpan w:val="4"/>
          </w:tcPr>
          <w:p>
            <w:pPr>
              <w:jc w:val="right"/>
              <w:ind w:right="1760"/>
              <w:spacing w:after="0"/>
              <w:rPr>
                <w:sz w:val="20"/>
                <w:szCs w:val="20"/>
                <w:color w:val="auto"/>
              </w:rPr>
            </w:pPr>
            <w:r>
              <w:rPr>
                <w:rFonts w:ascii="Arial" w:cs="Arial" w:eastAsia="Arial" w:hAnsi="Arial"/>
                <w:sz w:val="16"/>
                <w:szCs w:val="16"/>
                <w:color w:val="auto"/>
              </w:rPr>
              <w:t>L.</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1580" w:type="dxa"/>
            <w:vAlign w:val="bottom"/>
          </w:tcPr>
          <w:p>
            <w:pPr>
              <w:ind w:left="20"/>
              <w:spacing w:after="0"/>
              <w:rPr>
                <w:sz w:val="20"/>
                <w:szCs w:val="20"/>
                <w:color w:val="auto"/>
              </w:rPr>
            </w:pPr>
            <w:r>
              <w:rPr>
                <w:rFonts w:ascii="Arial" w:cs="Arial" w:eastAsia="Arial" w:hAnsi="Arial"/>
                <w:sz w:val="16"/>
                <w:szCs w:val="16"/>
                <w:color w:val="auto"/>
              </w:rPr>
              <w:t>Hammonds</w:t>
            </w:r>
            <w:r>
              <w:rPr>
                <w:rFonts w:ascii="Arial" w:cs="Arial" w:eastAsia="Arial" w:hAnsi="Arial"/>
                <w:sz w:val="21"/>
                <w:szCs w:val="21"/>
                <w:color w:val="auto"/>
                <w:vertAlign w:val="superscript"/>
              </w:rPr>
              <w:t>(6)</w:t>
            </w:r>
          </w:p>
        </w:tc>
        <w:tc>
          <w:tcPr>
            <w:tcW w:w="2020" w:type="dxa"/>
            <w:vAlign w:val="bottom"/>
            <w:gridSpan w:val="3"/>
            <w:vMerge w:val="restart"/>
          </w:tcPr>
          <w:p>
            <w:pPr>
              <w:jc w:val="center"/>
              <w:ind w:left="1079"/>
              <w:spacing w:after="0"/>
              <w:rPr>
                <w:sz w:val="20"/>
                <w:szCs w:val="20"/>
                <w:color w:val="auto"/>
              </w:rPr>
            </w:pPr>
            <w:r>
              <w:rPr>
                <w:rFonts w:ascii="Arial" w:cs="Arial" w:eastAsia="Arial" w:hAnsi="Arial"/>
                <w:sz w:val="16"/>
                <w:szCs w:val="16"/>
                <w:color w:val="auto"/>
                <w:w w:val="93"/>
              </w:rPr>
              <w:t>63,656</w:t>
            </w:r>
          </w:p>
        </w:tc>
        <w:tc>
          <w:tcPr>
            <w:tcW w:w="120" w:type="dxa"/>
            <w:vAlign w:val="bottom"/>
          </w:tcPr>
          <w:p>
            <w:pPr>
              <w:spacing w:after="0"/>
              <w:rPr>
                <w:sz w:val="23"/>
                <w:szCs w:val="23"/>
                <w:color w:val="auto"/>
              </w:rPr>
            </w:pPr>
          </w:p>
        </w:tc>
        <w:tc>
          <w:tcPr>
            <w:tcW w:w="1540" w:type="dxa"/>
            <w:vAlign w:val="bottom"/>
          </w:tcPr>
          <w:p>
            <w:pPr>
              <w:jc w:val="center"/>
              <w:ind w:left="5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20" w:type="dxa"/>
            <w:vAlign w:val="bottom"/>
            <w:vMerge w:val="restart"/>
          </w:tcPr>
          <w:p>
            <w:pPr>
              <w:jc w:val="center"/>
              <w:ind w:left="559"/>
              <w:spacing w:after="0"/>
              <w:rPr>
                <w:sz w:val="20"/>
                <w:szCs w:val="20"/>
                <w:color w:val="auto"/>
              </w:rPr>
            </w:pPr>
            <w:r>
              <w:rPr>
                <w:rFonts w:ascii="Arial" w:cs="Arial" w:eastAsia="Arial" w:hAnsi="Arial"/>
                <w:sz w:val="16"/>
                <w:szCs w:val="16"/>
                <w:color w:val="auto"/>
                <w:w w:val="89"/>
              </w:rPr>
              <w:t>63,656</w:t>
            </w: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660"/>
              <w:spacing w:after="0" w:line="169" w:lineRule="exact"/>
              <w:rPr>
                <w:sz w:val="20"/>
                <w:szCs w:val="20"/>
                <w:color w:val="auto"/>
              </w:rPr>
            </w:pPr>
            <w:r>
              <w:rPr>
                <w:rFonts w:ascii="Arial" w:cs="Arial" w:eastAsia="Arial" w:hAnsi="Arial"/>
                <w:sz w:val="16"/>
                <w:szCs w:val="16"/>
                <w:color w:val="auto"/>
              </w:rPr>
              <w:t>Lieut.  Gen.</w:t>
            </w:r>
          </w:p>
        </w:tc>
        <w:tc>
          <w:tcPr>
            <w:tcW w:w="2140" w:type="dxa"/>
            <w:vAlign w:val="bottom"/>
            <w:gridSpan w:val="4"/>
            <w:shd w:val="clear" w:color="auto" w:fill="CCEEFF"/>
          </w:tcPr>
          <w:p>
            <w:pPr>
              <w:jc w:val="right"/>
              <w:ind w:right="1760"/>
              <w:spacing w:after="0" w:line="169" w:lineRule="exact"/>
              <w:rPr>
                <w:sz w:val="20"/>
                <w:szCs w:val="20"/>
                <w:color w:val="auto"/>
              </w:rPr>
            </w:pPr>
            <w:r>
              <w:rPr>
                <w:rFonts w:ascii="Arial" w:cs="Arial" w:eastAsia="Arial" w:hAnsi="Arial"/>
                <w:sz w:val="16"/>
                <w:szCs w:val="16"/>
                <w:color w:val="auto"/>
              </w:rPr>
              <w:t>H.R.</w:t>
            </w:r>
          </w:p>
        </w:tc>
        <w:tc>
          <w:tcPr>
            <w:tcW w:w="154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580" w:type="dxa"/>
            <w:vAlign w:val="bottom"/>
            <w:vMerge w:val="restart"/>
            <w:shd w:val="clear" w:color="auto" w:fill="CCEEFF"/>
          </w:tcPr>
          <w:p>
            <w:pPr>
              <w:ind w:left="20"/>
              <w:spacing w:after="0" w:line="213" w:lineRule="exact"/>
              <w:rPr>
                <w:sz w:val="20"/>
                <w:szCs w:val="20"/>
                <w:color w:val="auto"/>
              </w:rPr>
            </w:pPr>
            <w:r>
              <w:rPr>
                <w:rFonts w:ascii="Arial" w:cs="Arial" w:eastAsia="Arial" w:hAnsi="Arial"/>
                <w:sz w:val="16"/>
                <w:szCs w:val="16"/>
                <w:color w:val="auto"/>
              </w:rPr>
              <w:t>McMaster</w:t>
            </w:r>
            <w:r>
              <w:rPr>
                <w:rFonts w:ascii="Arial" w:cs="Arial" w:eastAsia="Arial" w:hAnsi="Arial"/>
                <w:sz w:val="21"/>
                <w:szCs w:val="21"/>
                <w:color w:val="auto"/>
                <w:vertAlign w:val="superscript"/>
              </w:rPr>
              <w:t>(7)</w:t>
            </w:r>
          </w:p>
        </w:tc>
        <w:tc>
          <w:tcPr>
            <w:tcW w:w="2020" w:type="dxa"/>
            <w:vAlign w:val="bottom"/>
            <w:gridSpan w:val="3"/>
            <w:vMerge w:val="restart"/>
            <w:shd w:val="clear" w:color="auto" w:fill="CCEEFF"/>
          </w:tcPr>
          <w:p>
            <w:pPr>
              <w:jc w:val="center"/>
              <w:ind w:left="1079"/>
              <w:spacing w:after="0"/>
              <w:rPr>
                <w:sz w:val="20"/>
                <w:szCs w:val="20"/>
                <w:color w:val="auto"/>
              </w:rPr>
            </w:pPr>
            <w:r>
              <w:rPr>
                <w:rFonts w:ascii="Arial" w:cs="Arial" w:eastAsia="Arial" w:hAnsi="Arial"/>
                <w:sz w:val="16"/>
                <w:szCs w:val="16"/>
                <w:color w:val="auto"/>
                <w:w w:val="93"/>
              </w:rPr>
              <w:t>51,828</w:t>
            </w:r>
          </w:p>
        </w:tc>
        <w:tc>
          <w:tcPr>
            <w:tcW w:w="120" w:type="dxa"/>
            <w:vAlign w:val="bottom"/>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89"/>
              </w:rPr>
              <w:t>51,828</w:t>
            </w:r>
          </w:p>
        </w:tc>
        <w:tc>
          <w:tcPr>
            <w:tcW w:w="0" w:type="dxa"/>
            <w:vAlign w:val="bottom"/>
          </w:tcPr>
          <w:p>
            <w:pPr>
              <w:spacing w:after="0"/>
              <w:rPr>
                <w:sz w:val="1"/>
                <w:szCs w:val="1"/>
                <w:color w:val="auto"/>
              </w:rPr>
            </w:pPr>
          </w:p>
        </w:tc>
      </w:tr>
      <w:tr>
        <w:trPr>
          <w:trHeight w:val="100"/>
        </w:trPr>
        <w:tc>
          <w:tcPr>
            <w:tcW w:w="1580" w:type="dxa"/>
            <w:vAlign w:val="bottom"/>
            <w:vMerge w:val="continue"/>
            <w:shd w:val="clear" w:color="auto" w:fill="CCEEFF"/>
          </w:tcPr>
          <w:p>
            <w:pPr>
              <w:spacing w:after="0"/>
              <w:rPr>
                <w:sz w:val="8"/>
                <w:szCs w:val="8"/>
                <w:color w:val="auto"/>
              </w:rPr>
            </w:pPr>
          </w:p>
        </w:tc>
        <w:tc>
          <w:tcPr>
            <w:tcW w:w="202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720" w:type="dxa"/>
            <w:vAlign w:val="bottom"/>
            <w:gridSpan w:val="5"/>
          </w:tcPr>
          <w:p>
            <w:pPr>
              <w:ind w:left="660"/>
              <w:spacing w:after="0" w:line="162" w:lineRule="exact"/>
              <w:rPr>
                <w:sz w:val="20"/>
                <w:szCs w:val="20"/>
                <w:color w:val="auto"/>
              </w:rPr>
            </w:pPr>
            <w:r>
              <w:rPr>
                <w:rFonts w:ascii="Arial" w:cs="Arial" w:eastAsia="Arial" w:hAnsi="Arial"/>
                <w:sz w:val="14"/>
                <w:szCs w:val="14"/>
                <w:color w:val="auto"/>
              </w:rPr>
              <w:t>Janet Napolitano</w:t>
            </w:r>
            <w:r>
              <w:rPr>
                <w:rFonts w:ascii="Arial" w:cs="Arial" w:eastAsia="Arial" w:hAnsi="Arial"/>
                <w:sz w:val="18"/>
                <w:szCs w:val="18"/>
                <w:color w:val="auto"/>
                <w:vertAlign w:val="superscript"/>
              </w:rPr>
              <w:t>(8)</w:t>
            </w:r>
          </w:p>
        </w:tc>
        <w:tc>
          <w:tcPr>
            <w:tcW w:w="154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20" w:type="dxa"/>
            <w:vAlign w:val="bottom"/>
            <w:vMerge w:val="restart"/>
          </w:tcPr>
          <w:p>
            <w:pPr>
              <w:jc w:val="center"/>
              <w:ind w:left="559"/>
              <w:spacing w:after="0"/>
              <w:rPr>
                <w:sz w:val="20"/>
                <w:szCs w:val="20"/>
                <w:color w:val="auto"/>
              </w:rPr>
            </w:pPr>
            <w:r>
              <w:rPr>
                <w:rFonts w:ascii="Arial" w:cs="Arial" w:eastAsia="Arial" w:hAnsi="Arial"/>
                <w:sz w:val="16"/>
                <w:szCs w:val="16"/>
                <w:color w:val="auto"/>
                <w:w w:val="89"/>
              </w:rPr>
              <w:t>51,828</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020" w:type="dxa"/>
            <w:vAlign w:val="bottom"/>
            <w:gridSpan w:val="3"/>
          </w:tcPr>
          <w:p>
            <w:pPr>
              <w:jc w:val="center"/>
              <w:ind w:left="1079"/>
              <w:spacing w:after="0" w:line="148" w:lineRule="exact"/>
              <w:rPr>
                <w:sz w:val="20"/>
                <w:szCs w:val="20"/>
                <w:color w:val="auto"/>
              </w:rPr>
            </w:pPr>
            <w:r>
              <w:rPr>
                <w:rFonts w:ascii="Arial" w:cs="Arial" w:eastAsia="Arial" w:hAnsi="Arial"/>
                <w:sz w:val="16"/>
                <w:szCs w:val="16"/>
                <w:color w:val="auto"/>
                <w:w w:val="93"/>
              </w:rPr>
              <w:t>51,828</w:t>
            </w: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5"/>
            <w:shd w:val="clear" w:color="auto" w:fill="CCEEFF"/>
          </w:tcPr>
          <w:p>
            <w:pPr>
              <w:ind w:left="660"/>
              <w:spacing w:after="0" w:line="176" w:lineRule="exact"/>
              <w:rPr>
                <w:sz w:val="20"/>
                <w:szCs w:val="20"/>
                <w:color w:val="auto"/>
              </w:rPr>
            </w:pPr>
            <w:r>
              <w:rPr>
                <w:rFonts w:ascii="Arial" w:cs="Arial" w:eastAsia="Arial" w:hAnsi="Arial"/>
                <w:sz w:val="15"/>
                <w:szCs w:val="15"/>
                <w:color w:val="auto"/>
              </w:rPr>
              <w:t>Dan Scheinman</w:t>
            </w:r>
            <w:r>
              <w:rPr>
                <w:rFonts w:ascii="Arial" w:cs="Arial" w:eastAsia="Arial" w:hAnsi="Arial"/>
                <w:sz w:val="20"/>
                <w:szCs w:val="20"/>
                <w:color w:val="auto"/>
                <w:vertAlign w:val="superscript"/>
              </w:rPr>
              <w:t>(9)</w:t>
            </w:r>
          </w:p>
        </w:tc>
        <w:tc>
          <w:tcPr>
            <w:tcW w:w="1540" w:type="dxa"/>
            <w:vAlign w:val="bottom"/>
            <w:shd w:val="clear" w:color="auto" w:fill="CCEEFF"/>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89"/>
              </w:rPr>
              <w:t>97,500</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center"/>
              <w:ind w:left="1079"/>
              <w:spacing w:after="0" w:line="162" w:lineRule="exact"/>
              <w:rPr>
                <w:sz w:val="20"/>
                <w:szCs w:val="20"/>
                <w:color w:val="auto"/>
              </w:rPr>
            </w:pPr>
            <w:r>
              <w:rPr>
                <w:rFonts w:ascii="Arial" w:cs="Arial" w:eastAsia="Arial" w:hAnsi="Arial"/>
                <w:sz w:val="16"/>
                <w:szCs w:val="16"/>
                <w:color w:val="auto"/>
                <w:w w:val="93"/>
              </w:rPr>
              <w:t>97,500</w:t>
            </w: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660"/>
              <w:spacing w:after="0" w:line="166" w:lineRule="exact"/>
              <w:rPr>
                <w:sz w:val="20"/>
                <w:szCs w:val="20"/>
                <w:color w:val="auto"/>
              </w:rPr>
            </w:pPr>
            <w:r>
              <w:rPr>
                <w:rFonts w:ascii="Arial" w:cs="Arial" w:eastAsia="Arial" w:hAnsi="Arial"/>
                <w:sz w:val="16"/>
                <w:szCs w:val="16"/>
                <w:color w:val="auto"/>
              </w:rPr>
              <w:t>Santiago</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Subotovsky</w:t>
            </w:r>
          </w:p>
        </w:tc>
        <w:tc>
          <w:tcPr>
            <w:tcW w:w="2020" w:type="dxa"/>
            <w:vAlign w:val="bottom"/>
            <w:gridSpan w:val="3"/>
            <w:vMerge w:val="restart"/>
          </w:tcPr>
          <w:p>
            <w:pPr>
              <w:jc w:val="center"/>
              <w:ind w:left="1079"/>
              <w:spacing w:after="0"/>
              <w:rPr>
                <w:sz w:val="20"/>
                <w:szCs w:val="20"/>
                <w:color w:val="auto"/>
              </w:rPr>
            </w:pPr>
            <w:r>
              <w:rPr>
                <w:rFonts w:ascii="Arial" w:cs="Arial" w:eastAsia="Arial" w:hAnsi="Arial"/>
                <w:sz w:val="16"/>
                <w:szCs w:val="16"/>
                <w:color w:val="auto"/>
                <w:w w:val="93"/>
              </w:rPr>
              <w:t>65,000</w:t>
            </w:r>
          </w:p>
        </w:tc>
        <w:tc>
          <w:tcPr>
            <w:tcW w:w="1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restart"/>
          </w:tcPr>
          <w:p>
            <w:pPr>
              <w:jc w:val="center"/>
              <w:ind w:left="559"/>
              <w:spacing w:after="0"/>
              <w:rPr>
                <w:sz w:val="20"/>
                <w:szCs w:val="20"/>
                <w:color w:val="auto"/>
              </w:rPr>
            </w:pPr>
            <w:r>
              <w:rPr>
                <w:rFonts w:ascii="Arial" w:cs="Arial" w:eastAsia="Arial" w:hAnsi="Arial"/>
                <w:sz w:val="16"/>
                <w:szCs w:val="16"/>
                <w:color w:val="auto"/>
                <w:w w:val="89"/>
              </w:rPr>
              <w:t>65,000</w:t>
            </w:r>
          </w:p>
        </w:tc>
        <w:tc>
          <w:tcPr>
            <w:tcW w:w="0" w:type="dxa"/>
            <w:vAlign w:val="bottom"/>
          </w:tcPr>
          <w:p>
            <w:pPr>
              <w:spacing w:after="0"/>
              <w:rPr>
                <w:sz w:val="1"/>
                <w:szCs w:val="1"/>
                <w:color w:val="auto"/>
              </w:rPr>
            </w:pPr>
          </w:p>
        </w:tc>
      </w:tr>
      <w:tr>
        <w:trPr>
          <w:trHeight w:val="98"/>
        </w:trPr>
        <w:tc>
          <w:tcPr>
            <w:tcW w:w="1580" w:type="dxa"/>
            <w:vAlign w:val="bottom"/>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720" w:type="dxa"/>
            <w:vAlign w:val="bottom"/>
            <w:gridSpan w:val="5"/>
            <w:shd w:val="clear" w:color="auto" w:fill="CCEEFF"/>
          </w:tcPr>
          <w:p>
            <w:pPr>
              <w:ind w:left="660"/>
              <w:spacing w:after="0" w:line="165" w:lineRule="exact"/>
              <w:rPr>
                <w:sz w:val="20"/>
                <w:szCs w:val="20"/>
                <w:color w:val="auto"/>
              </w:rPr>
            </w:pPr>
            <w:r>
              <w:rPr>
                <w:rFonts w:ascii="Arial" w:cs="Arial" w:eastAsia="Arial" w:hAnsi="Arial"/>
                <w:sz w:val="15"/>
                <w:szCs w:val="15"/>
                <w:color w:val="auto"/>
              </w:rPr>
              <w:t>Bart Swanson</w:t>
            </w:r>
            <w:r>
              <w:rPr>
                <w:rFonts w:ascii="Arial" w:cs="Arial" w:eastAsia="Arial" w:hAnsi="Arial"/>
                <w:sz w:val="19"/>
                <w:szCs w:val="19"/>
                <w:color w:val="auto"/>
                <w:vertAlign w:val="superscript"/>
              </w:rPr>
              <w:t>(10)</w:t>
            </w:r>
          </w:p>
        </w:tc>
        <w:tc>
          <w:tcPr>
            <w:tcW w:w="1540" w:type="dxa"/>
            <w:vAlign w:val="bottom"/>
            <w:shd w:val="clear" w:color="auto" w:fill="CCEEFF"/>
          </w:tcPr>
          <w:p>
            <w:pPr>
              <w:jc w:val="center"/>
              <w:ind w:left="559"/>
              <w:spacing w:after="0" w:line="16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89"/>
              </w:rPr>
              <w:t>60,000</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ind w:left="1079"/>
              <w:spacing w:after="0" w:line="148" w:lineRule="exact"/>
              <w:rPr>
                <w:sz w:val="20"/>
                <w:szCs w:val="20"/>
                <w:color w:val="auto"/>
              </w:rPr>
            </w:pPr>
            <w:r>
              <w:rPr>
                <w:rFonts w:ascii="Arial" w:cs="Arial" w:eastAsia="Arial" w:hAnsi="Arial"/>
                <w:sz w:val="16"/>
                <w:szCs w:val="16"/>
                <w:color w:val="auto"/>
                <w:w w:val="93"/>
              </w:rPr>
              <w:t>60,000</w:t>
            </w: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RSUs granted to our directors during the fiscal year ended January 31, 2022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2022. This amount does not reflect the actual economic value that may be realized by the non-employee director.</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January 31, 2022, only Mr. Chadwick, Mr. Gassner, Ms. Hammonds, Gen. McMaster, Ms. Napolitano and Mr. Scheinman held shares underlying unvested equity awards.</w:t>
      </w:r>
    </w:p>
    <w:p>
      <w:pPr>
        <w:jc w:val="both"/>
        <w:ind w:left="340" w:hanging="332"/>
        <w:spacing w:after="0" w:line="281" w:lineRule="auto"/>
        <w:tabs>
          <w:tab w:leader="none" w:pos="3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January 31, 2022, Mr. Chadwick held RSUs for 1,514 shares of our Class A common stock, of which 1,388 shares remained unvested. The award vests in equal quarterly installments over 36 months measured from September 7, 2021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6"/>
          <w:szCs w:val="16"/>
          <w:color w:val="auto"/>
        </w:rPr>
      </w:pPr>
    </w:p>
    <w:p>
      <w:pPr>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our Non-Employee Director Compensation Policy, Mr. Chadwick received an RSU award when his then-current equity award fully vested in September 2021 with an aggregate grant date fair value of $454,139.</w:t>
      </w:r>
    </w:p>
    <w:p>
      <w:pPr>
        <w:jc w:val="both"/>
        <w:ind w:left="340" w:hanging="332"/>
        <w:spacing w:after="0" w:line="281" w:lineRule="auto"/>
        <w:tabs>
          <w:tab w:leader="none" w:pos="3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January 31, 2022, Mr. Gassner held RSUs for 2,833 shares of our Class A common stock, of which 1,417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6"/>
          <w:szCs w:val="16"/>
          <w:color w:val="auto"/>
        </w:rPr>
      </w:pPr>
    </w:p>
    <w:p>
      <w:pPr>
        <w:jc w:val="both"/>
        <w:ind w:left="340" w:hanging="332"/>
        <w:spacing w:after="0" w:line="265" w:lineRule="auto"/>
        <w:tabs>
          <w:tab w:leader="none" w:pos="3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January 31, 2022, Ms. Hammonds held a stock option to purchase 150,000 shares of our Class B common stock with an exercise price per share of $3.77, which was granted in September 2018. The option vests in 48 equal monthly installments measured from September 12, 2018, subject to Ms. Hammonds’ continued service and acceleration upon a change in control (as defined in the 2011 Global Share Plan), and may be early exercised prior to vesting subject to our right to repurchase the shares that lapses in accordance with the option vesting schedule.</w:t>
      </w:r>
    </w:p>
    <w:p>
      <w:pPr>
        <w:jc w:val="both"/>
        <w:ind w:left="340" w:hanging="332"/>
        <w:spacing w:after="0" w:line="281" w:lineRule="auto"/>
        <w:tabs>
          <w:tab w:leader="none" w:pos="3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January 31, 2022, Gen. McMaster held RSUs for 2,833 shares of our Class A common stock, of which 1,417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January 31, 2022, Ms. Napolitano held RSUs covering an aggregate of 783 shares of our Class A common stock, of which 335 shares remained unvested. The RSUs vest in seven equal quarterly installments beginning as of November 2, 2020 (pursuant to our Non-Employee Director Compensation Policy). Upon a change in control, death or disability (as such terms are defined in the 2019 Plan), the vesting of the RSUs shall accelerate in full.</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40"/>
          </w:cols>
          <w:pgMar w:left="320" w:top="1421" w:right="339" w:bottom="1440" w:gutter="0" w:footer="0" w:header="0"/>
          <w:type w:val="continuous"/>
        </w:sectPr>
      </w:pPr>
    </w:p>
    <w:bookmarkStart w:id="26" w:name="page27"/>
    <w:bookmarkEnd w:id="26"/>
    <w:p>
      <w:pPr>
        <w:jc w:val="both"/>
        <w:ind w:left="340" w:hanging="332"/>
        <w:spacing w:after="0" w:line="269" w:lineRule="auto"/>
        <w:tabs>
          <w:tab w:leader="none" w:pos="3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January 31, 2022, Mr. Scheinman held a stock option to purchase 100,000 shares of our Class B common stock with an exercise price per share of $10.79, which was granted in November 2018. The option vests in 48 equal monthly installments measured from November 29, 2018, subject to Mr. Scheinman’s continued service and acceleration upon a change in control (as defined in the 2011 Global Share Plan), and may be early exercised prior to vesting subject to our right to repurchase the shares that lapses in accordance with the option vesting schedule.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Swanson resigned from our Board of Directors effective March 1, 2022.</w:t>
      </w:r>
    </w:p>
    <w:p>
      <w:pPr>
        <w:spacing w:after="0" w:line="2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Yuan, our Chief Executive Officer, is also a director but does not receive any additional compensation for his service as a director. See the section titled “Executive Compensation” for additional information about the compensation paid to Mr. Yuan.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Early Fiscal 2023 Changes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early fiscal 2023, with the assistance of Aon, our Compensation Committee and Board of Directors reviewed our Non-Employee Director Compensation Policy, including by reference to the peer group of companies used for executive compensation purposes and general trends and best practices in our industry for director compensation. This review indicated that our structure of granting equity awards intended to compensate our non-employee directors for a three-year period, rather than on an annual basis, was not in line with market and peer practices and the value of such three-year grants, on an annualized basis, fell significantly below the median of our peer companies’ annual grants. Following such a review and after carefully considering the market data analysis and recommendations from Aon, in February 2022, our Compensation Committee recommended, and our Board of Directors approved, shifting our equity compensation approach to structure RSU grants to our non-employee directors to generally occur annually, rather than every three years. The updated Non-Employee Director Compensation Policy, effective February 2022, provides that the Target RSU under the Non-Employee Director Compensation Policy will be calculated based on a grant value of $275,000, will vest over a one year period and will be granted to each Eligible Director at the time of each of our annual meeting of stockholders and at the time of such Eligible Director’s initial appointment to our Board of Directors (pro-rated for the period of time remaining until the next annual meeting of stockholders). We believe this annual grant structure and amount aligns more closely with peer company and general market practices and is most appropriate for our Eligible Directors at this time.</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Because our current non-employee directors hold outstanding equity awards that were structured to provide compensation over a three-year period, the shift to annual Target RSUs will be phased-in gradually for such directors, to generally correspond to the time when such director’s current outstanding equity awards are expected to be fully vested. Accordingly, the new annual Target RSU award will begin being granted to our current Eligible Directors as follows: at our 2022 annual meeting of stockholders to our Class III Eligible Directors; at our 2023 annual meeting of stockholders to our Class I Eligible Directors (and our Class II Eligible Directors who hold Pre-IPO grants, as described below) and finally at our 2024 annual meeting of stockholders to our remaining Class II Eligible Directors. Certain of our Class II Eligible Directors have outstanding equity awards that were granted prior to May 2019 that remain partially unvested as of February 2022 (“Pre-IPO grants”); at the time such outstanding Pre-IPO grants fully vest (scheduled to occur in fiscal 2023), such directors will receive the Target RSUs in an amount pro-rated for the period of time remaining until our next annual meeting of stockholders.</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Because Mr. McDermott joined our Board of Directors effective March 1, 2022, at the time of joining our Board of Directors, he received an RSU award for 476 shares, which represented his pro-rated Target RSU under the terms of our updated Non-Employee Director Policy. Mr. McDermott and each of our other Class III Eligible Directors will receive a Target RSU at the time of our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27" w:name="page28"/>
    <w:bookmarkEnd w:id="2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currently consists of 10 members. In accordance with our amended and restated certificate of incorporation, our Board of Directors is divided into three staggered classes of directors. At the Annual Meeting, four Class III directors will be elected for a three-year term to succeed the same class whose term is then expiring.</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each of Carl M. Eschenbach, William R. McDermott, Janet Napolitano and Santiago Subotovsky, as nominees for election as Class III directors at the Annual Meeting. If elected, each of Ms. Napolitano and Messrs. Eschenbach, McDermott and Subotovsky will serve as Class III directors until our 2025 annual meeting of stockholders and until their successors are duly elected and qualified. Each of the nominees is currently a director of our company. Messrs. Eschenbach and Subotovsky are up for re-election this year and Ms. Napolitano and Mr. McDermott are up for election for the first time since being appointed to the Board in November 2020 and March 2022, respectively. Regarding Ms. Napolitano's and Mr. McDermott's appointments, non-management directors provided the Board and management with information regarding several potential candidates in each instance. After performing further evaluation of Ms. Napolitano's and Mr. McDermott's particular experiences, qualifications, attributes, and skills, the Nominating and Corporate Governance Committee recommended each of their appointments to the Board. For information concerning the nominees, please see the section titled “Board of Directors and Corporate Governance.”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Ms. Napolitano and Messrs. Eschenbach, McDermott and Subotovsky. We expect that each of Ms. Napolitano and Messrs. Eschenbach, McDermott and Subotovsky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election of directors requires a plurality of the voting power of the shares of our common stock present in person, by remote communication or by proxy and entitled to vote at the Annual Meeting to be approved. Broker non-votes will have no effect on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has appointed KPMG LLP (“KPMG”), independent registered public accountants, to audit our consolidated financial statements for our fiscal year ending January 31, 2023. During our fiscal year ended January 31, 2022, KPMG served as our independent registered public accounting firm.</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2023.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stockholders do not ratify the appointment of KPMG, our Board of Directors may reconsider the appointment.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KPMG for our fiscal years ended January 31, 2022 and 2021.</w:t>
      </w:r>
    </w:p>
    <w:p>
      <w:pPr>
        <w:spacing w:after="0" w:line="211" w:lineRule="exact"/>
        <w:rPr>
          <w:sz w:val="20"/>
          <w:szCs w:val="20"/>
          <w:color w:val="auto"/>
        </w:rPr>
      </w:pPr>
    </w:p>
    <w:tbl>
      <w:tblPr>
        <w:tblLayout w:type="fixed"/>
        <w:tblInd w:w="390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rPr>
              <w:t>Fiscal Year</w:t>
            </w:r>
          </w:p>
        </w:tc>
      </w:tr>
      <w:tr>
        <w:trPr>
          <w:trHeight w:val="101"/>
        </w:trPr>
        <w:tc>
          <w:tcPr>
            <w:tcW w:w="11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tcPr>
          <w:p>
            <w:pPr>
              <w:spacing w:after="0"/>
              <w:rPr>
                <w:sz w:val="8"/>
                <w:szCs w:val="8"/>
                <w:color w:val="auto"/>
              </w:rPr>
            </w:pPr>
          </w:p>
        </w:tc>
      </w:tr>
      <w:tr>
        <w:trPr>
          <w:trHeight w:val="207"/>
        </w:trPr>
        <w:tc>
          <w:tcPr>
            <w:tcW w:w="11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b w:val="1"/>
                <w:bCs w:val="1"/>
                <w:color w:val="auto"/>
                <w:w w:val="89"/>
              </w:rPr>
              <w:t>2021</w:t>
            </w:r>
          </w:p>
        </w:tc>
      </w:tr>
      <w:tr>
        <w:trPr>
          <w:trHeight w:val="189"/>
        </w:trPr>
        <w:tc>
          <w:tcPr>
            <w:tcW w:w="1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Audit</w:t>
            </w:r>
          </w:p>
        </w:tc>
        <w:tc>
          <w:tcPr>
            <w:tcW w:w="1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$3,877,627</w:t>
            </w:r>
          </w:p>
        </w:tc>
        <w:tc>
          <w:tcPr>
            <w:tcW w:w="1560" w:type="dxa"/>
            <w:vAlign w:val="bottom"/>
            <w:gridSpan w:val="3"/>
            <w:shd w:val="clear" w:color="auto" w:fill="CCEEFF"/>
          </w:tcPr>
          <w:p>
            <w:pPr>
              <w:jc w:val="center"/>
              <w:ind w:left="679"/>
              <w:spacing w:after="0"/>
              <w:rPr>
                <w:sz w:val="20"/>
                <w:szCs w:val="20"/>
                <w:color w:val="auto"/>
              </w:rPr>
            </w:pPr>
            <w:r>
              <w:rPr>
                <w:rFonts w:ascii="Arial" w:cs="Arial" w:eastAsia="Arial" w:hAnsi="Arial"/>
                <w:sz w:val="16"/>
                <w:szCs w:val="16"/>
                <w:color w:val="auto"/>
                <w:w w:val="89"/>
              </w:rPr>
              <w:t>$3,352,318</w:t>
            </w:r>
          </w:p>
        </w:tc>
      </w:tr>
      <w:tr>
        <w:trPr>
          <w:trHeight w:val="300"/>
        </w:trPr>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Fees</w:t>
            </w:r>
            <w:r>
              <w:rPr>
                <w:rFonts w:ascii="Arial" w:cs="Arial" w:eastAsia="Arial" w:hAnsi="Arial"/>
                <w:sz w:val="21"/>
                <w:szCs w:val="21"/>
                <w:color w:val="auto"/>
                <w:vertAlign w:val="superscript"/>
              </w:rPr>
              <w:t>(1)</w:t>
            </w:r>
          </w:p>
        </w:tc>
        <w:tc>
          <w:tcPr>
            <w:tcW w:w="1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r>
      <w:tr>
        <w:trPr>
          <w:trHeight w:val="206"/>
        </w:trPr>
        <w:tc>
          <w:tcPr>
            <w:tcW w:w="1160" w:type="dxa"/>
            <w:vAlign w:val="bottom"/>
          </w:tcPr>
          <w:p>
            <w:pPr>
              <w:ind w:left="660"/>
              <w:spacing w:after="0"/>
              <w:rPr>
                <w:sz w:val="20"/>
                <w:szCs w:val="20"/>
                <w:color w:val="auto"/>
              </w:rPr>
            </w:pPr>
            <w:r>
              <w:rPr>
                <w:rFonts w:ascii="Arial" w:cs="Arial" w:eastAsia="Arial" w:hAnsi="Arial"/>
                <w:sz w:val="16"/>
                <w:szCs w:val="16"/>
                <w:color w:val="auto"/>
              </w:rPr>
              <w:t>Audit-</w:t>
            </w:r>
          </w:p>
        </w:tc>
        <w:tc>
          <w:tcPr>
            <w:tcW w:w="1400" w:type="dxa"/>
            <w:vAlign w:val="bottom"/>
          </w:tcPr>
          <w:p>
            <w:pPr>
              <w:jc w:val="center"/>
              <w:ind w:left="559"/>
              <w:spacing w:after="0"/>
              <w:rPr>
                <w:sz w:val="20"/>
                <w:szCs w:val="20"/>
                <w:color w:val="auto"/>
              </w:rPr>
            </w:pPr>
            <w:r>
              <w:rPr>
                <w:rFonts w:ascii="Arial" w:cs="Arial" w:eastAsia="Arial" w:hAnsi="Arial"/>
                <w:sz w:val="16"/>
                <w:szCs w:val="16"/>
                <w:color w:val="auto"/>
                <w:w w:val="89"/>
              </w:rPr>
              <w:t>$265,000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r>
      <w:tr>
        <w:trPr>
          <w:trHeight w:val="275"/>
        </w:trPr>
        <w:tc>
          <w:tcPr>
            <w:tcW w:w="1160" w:type="dxa"/>
            <w:vAlign w:val="bottom"/>
          </w:tcPr>
          <w:p>
            <w:pPr>
              <w:spacing w:after="0"/>
              <w:rPr>
                <w:sz w:val="20"/>
                <w:szCs w:val="20"/>
                <w:color w:val="auto"/>
              </w:rPr>
            </w:pPr>
            <w:r>
              <w:rPr>
                <w:rFonts w:ascii="Arial" w:cs="Arial" w:eastAsia="Arial" w:hAnsi="Arial"/>
                <w:sz w:val="16"/>
                <w:szCs w:val="16"/>
                <w:color w:val="auto"/>
              </w:rPr>
              <w:t>related Fees</w:t>
            </w:r>
            <w:r>
              <w:rPr>
                <w:rFonts w:ascii="Arial" w:cs="Arial" w:eastAsia="Arial" w:hAnsi="Arial"/>
                <w:sz w:val="21"/>
                <w:szCs w:val="21"/>
                <w:color w:val="auto"/>
                <w:vertAlign w:val="superscript"/>
              </w:rPr>
              <w:t>(2)</w:t>
            </w: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5"/>
        </w:trPr>
        <w:tc>
          <w:tcPr>
            <w:tcW w:w="1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6"/>
        </w:trPr>
        <w:tc>
          <w:tcPr>
            <w:tcW w:w="1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Tax</w:t>
            </w:r>
          </w:p>
        </w:tc>
        <w:tc>
          <w:tcPr>
            <w:tcW w:w="1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r>
      <w:tr>
        <w:trPr>
          <w:trHeight w:val="206"/>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Fees</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14"/>
        </w:trPr>
        <w:tc>
          <w:tcPr>
            <w:tcW w:w="1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166"/>
        </w:trPr>
        <w:tc>
          <w:tcPr>
            <w:tcW w:w="1160" w:type="dxa"/>
            <w:vAlign w:val="bottom"/>
          </w:tcPr>
          <w:p>
            <w:pPr>
              <w:ind w:left="660"/>
              <w:spacing w:after="0" w:line="166" w:lineRule="exact"/>
              <w:rPr>
                <w:sz w:val="20"/>
                <w:szCs w:val="20"/>
                <w:color w:val="auto"/>
              </w:rPr>
            </w:pPr>
            <w:r>
              <w:rPr>
                <w:rFonts w:ascii="Arial" w:cs="Arial" w:eastAsia="Arial" w:hAnsi="Arial"/>
                <w:sz w:val="16"/>
                <w:szCs w:val="16"/>
                <w:color w:val="auto"/>
              </w:rPr>
              <w:t>All</w:t>
            </w:r>
          </w:p>
        </w:tc>
        <w:tc>
          <w:tcPr>
            <w:tcW w:w="1400" w:type="dxa"/>
            <w:vAlign w:val="bottom"/>
          </w:tcPr>
          <w:p>
            <w:pPr>
              <w:jc w:val="center"/>
              <w:ind w:left="559"/>
              <w:spacing w:after="0" w:line="166" w:lineRule="exact"/>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539"/>
              <w:spacing w:after="0" w:line="166" w:lineRule="exact"/>
              <w:rPr>
                <w:sz w:val="20"/>
                <w:szCs w:val="20"/>
                <w:color w:val="auto"/>
              </w:rPr>
            </w:pPr>
            <w:r>
              <w:rPr>
                <w:rFonts w:ascii="Arial" w:cs="Arial" w:eastAsia="Arial" w:hAnsi="Arial"/>
                <w:sz w:val="16"/>
                <w:szCs w:val="16"/>
                <w:color w:val="auto"/>
                <w:w w:val="99"/>
              </w:rPr>
              <w:t>—</w:t>
            </w: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Other Fees</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01"/>
        </w:trPr>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66"/>
        </w:trPr>
        <w:tc>
          <w:tcPr>
            <w:tcW w:w="1160" w:type="dxa"/>
            <w:vAlign w:val="bottom"/>
            <w:shd w:val="clear" w:color="auto" w:fill="CCEEFF"/>
          </w:tcPr>
          <w:p>
            <w:pPr>
              <w:ind w:left="660"/>
              <w:spacing w:after="0" w:line="166" w:lineRule="exact"/>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jc w:val="center"/>
              <w:ind w:left="559"/>
              <w:spacing w:after="0" w:line="166" w:lineRule="exact"/>
              <w:rPr>
                <w:sz w:val="20"/>
                <w:szCs w:val="20"/>
                <w:color w:val="auto"/>
              </w:rPr>
            </w:pPr>
            <w:r>
              <w:rPr>
                <w:rFonts w:ascii="Arial" w:cs="Arial" w:eastAsia="Arial" w:hAnsi="Arial"/>
                <w:sz w:val="16"/>
                <w:szCs w:val="16"/>
                <w:color w:val="auto"/>
                <w:w w:val="89"/>
              </w:rPr>
              <w:t>$4,142,627</w:t>
            </w:r>
          </w:p>
        </w:tc>
        <w:tc>
          <w:tcPr>
            <w:tcW w:w="1560" w:type="dxa"/>
            <w:vAlign w:val="bottom"/>
            <w:gridSpan w:val="3"/>
            <w:shd w:val="clear" w:color="auto" w:fill="CCEEFF"/>
          </w:tcPr>
          <w:p>
            <w:pPr>
              <w:jc w:val="center"/>
              <w:ind w:left="679"/>
              <w:spacing w:after="0" w:line="166" w:lineRule="exact"/>
              <w:rPr>
                <w:sz w:val="20"/>
                <w:szCs w:val="20"/>
                <w:color w:val="auto"/>
              </w:rPr>
            </w:pPr>
            <w:r>
              <w:rPr>
                <w:rFonts w:ascii="Arial" w:cs="Arial" w:eastAsia="Arial" w:hAnsi="Arial"/>
                <w:sz w:val="16"/>
                <w:szCs w:val="16"/>
                <w:color w:val="auto"/>
                <w:w w:val="89"/>
              </w:rPr>
              <w:t>$3,352,318</w:t>
            </w:r>
          </w:p>
        </w:tc>
      </w:tr>
      <w:tr>
        <w:trPr>
          <w:trHeight w:val="206"/>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Fees</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01"/>
        </w:trPr>
        <w:tc>
          <w:tcPr>
            <w:tcW w:w="11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consist of professional services provided in connection with the audit of our annual consolidated financial statements (which was an integrated audit for fiscal years 2022 and 2021), the review of our unaudited quarterly consolidated financial statements, foreign statutory audits and services that are normally provided by KPMG LLP in connection with statutory and regulatory filings or engagements. The fees for fiscal year 2021 included services in connection with our follow-on public offering. For fiscal 2022, this category also included fees for services provided in connection with the filing of a registration statement on Form S-4.</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include fees for an internal control assessment related to our ERP implementation.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its charter and the policy described further below, our Audit Committee pre-approves audit and non-audit services rendered by our independent registered public accounting firm, KPMG. Our Audit Committee has determined that the rendering of the pre-approved non-audit services by KPMG is compatible with maintaining the independence of KPMG.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Policy on Pre-Approval of Audit and Permissible Non-Audit Services of Independent Registered Public Accounting Firm</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2021 and 2022 were pre-approved by our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ratification of the appointment of KPMG as our independent registered public accounting firm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THE RATIFICATION OF THE APPOINTMENT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our Board of Directors is asking the stockholders to indicate their support for the compensation of our named executive officers as described in this proxy statement by casting a non-binding advisory vote “FOR” the following resolution: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next scheduled say-on-pay vote will be at the 2023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advisory vote on executive compensation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and regulations of the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20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211"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statement on Auditing Standards No. 1301, Communications with Audit Committees, as adopted by the Public Company Accounting Oversight Board; and</w:t>
      </w:r>
    </w:p>
    <w:p>
      <w:pPr>
        <w:spacing w:after="0" w:line="143" w:lineRule="exact"/>
        <w:rPr>
          <w:rFonts w:ascii="Arial" w:cs="Arial" w:eastAsia="Arial" w:hAnsi="Arial"/>
          <w:sz w:val="18"/>
          <w:szCs w:val="18"/>
          <w:color w:val="auto"/>
        </w:rPr>
      </w:pPr>
    </w:p>
    <w:p>
      <w:pPr>
        <w:jc w:val="both"/>
        <w:ind w:left="980" w:hanging="324"/>
        <w:spacing w:after="0" w:line="295"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the written communication provided from KPMG required by applicable requirements of the Public Company Accounting Oversight Board regarding the independent accountant’s communications with the Audit Committee concerning independence, and has discussed with KPMG its independence.</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Annual Report on Form 10-K for the fiscal year ended January 31, 2022 for filing with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Chadwick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Carl M. Eschenbach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 Scheinman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identifies certain information about our executive officers as of March 31, 2022. Our executive officers are appointed by, and serve at the discretion of, our Board of Directors. There are no family relationships among any of our directors or executive officers.</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Age</w:t>
            </w:r>
          </w:p>
        </w:tc>
        <w:tc>
          <w:tcPr>
            <w:tcW w:w="480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100"/>
        </w:trPr>
        <w:tc>
          <w:tcPr>
            <w:tcW w:w="2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r>
      <w:tr>
        <w:trPr>
          <w:trHeight w:val="284"/>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4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President, Chief Executive Officer and Chairman of the Board</w:t>
            </w:r>
          </w:p>
        </w:tc>
      </w:tr>
      <w:tr>
        <w:trPr>
          <w:trHeight w:val="25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Ryan Azus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Revenue Officer</w:t>
            </w:r>
          </w:p>
        </w:tc>
      </w:tr>
      <w:tr>
        <w:trPr>
          <w:trHeight w:val="60"/>
        </w:trPr>
        <w:tc>
          <w:tcPr>
            <w:tcW w:w="2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91"/>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4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Operating Officer and Interim Chief Legal Officer</w:t>
            </w:r>
          </w:p>
        </w:tc>
      </w:tr>
      <w:tr>
        <w:trPr>
          <w:trHeight w:val="25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Janine Pelosi</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Marketing Officer</w:t>
            </w:r>
          </w:p>
        </w:tc>
      </w:tr>
      <w:tr>
        <w:trPr>
          <w:trHeight w:val="60"/>
        </w:trPr>
        <w:tc>
          <w:tcPr>
            <w:tcW w:w="2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0" w:type="dxa"/>
            <w:vAlign w:val="bottom"/>
          </w:tcPr>
          <w:p>
            <w:pPr>
              <w:spacing w:after="0"/>
              <w:rPr>
                <w:sz w:val="5"/>
                <w:szCs w:val="5"/>
                <w:color w:val="auto"/>
              </w:rPr>
            </w:pPr>
          </w:p>
        </w:tc>
      </w:tr>
      <w:tr>
        <w:trPr>
          <w:trHeight w:val="236"/>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Velchamy Sankarlingam</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4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President of Product and Engineering</w:t>
            </w:r>
          </w:p>
        </w:tc>
      </w:tr>
      <w:tr>
        <w:trPr>
          <w:trHeight w:val="25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4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Biographical information for Mr. Yuan is presented Under “Board of Directors and Corporate Governance” above.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Ryan Azus. </w:t>
      </w:r>
      <w:r>
        <w:rPr>
          <w:rFonts w:ascii="Arial" w:cs="Arial" w:eastAsia="Arial" w:hAnsi="Arial"/>
          <w:sz w:val="18"/>
          <w:szCs w:val="18"/>
          <w:color w:val="auto"/>
        </w:rPr>
        <w:t>Mr. Azus has served as our Chief Revenue Officer since August 2019. Prior to joining us, Mr. Azus was at RingCentral, Inc., 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global enterprise cloud communications and collaboration solutions from September 2009 to August 2019, where he served in various roles, most recently as Executive Vice President of Global Sales and Services. Prior to joining RingCentral, Mr. Azus worked in various positions at Cisco Webex, a division of Cisco and a provider of video conferencing, online meetings, screen share, and webinars from March 2000 to June 2009. Mr. Azus holds a B.S. in Business Administration from California Polytechnic State University.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Aparna Bawa. </w:t>
      </w:r>
      <w:r>
        <w:rPr>
          <w:rFonts w:ascii="Arial" w:cs="Arial" w:eastAsia="Arial" w:hAnsi="Arial"/>
          <w:sz w:val="17"/>
          <w:szCs w:val="17"/>
          <w:color w:val="auto"/>
        </w:rPr>
        <w:t>Ms. Bawa has served as our Chief Operating Officer and interim Chief Legal Officer since May 2020. She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Legal Officer from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Janine Pelosi. </w:t>
      </w:r>
      <w:r>
        <w:rPr>
          <w:rFonts w:ascii="Arial" w:cs="Arial" w:eastAsia="Arial" w:hAnsi="Arial"/>
          <w:sz w:val="17"/>
          <w:szCs w:val="17"/>
          <w:color w:val="auto"/>
        </w:rPr>
        <w:t>Ms. Pelosi has served as our Chief Marketing Officer since March 2019. She previously served as our Head of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Online Business from November 2018 to March 2019. Prior to this, Ms. Pelosi served as our Head of Marketing from March 2015 to November 2018. From May 2007 to March 2015, Ms. Pelosi served in various marketing roles at Cisco, most recently as Senior Manager of Marketing WebEx Online. Ms. Pelosi served in various roles at WebEx, most recently as Online Marketing Manager, from June 2004 until its acquisition by Cisco in May 2007. Ms. Pelosi holds a B.S. degree in Business Administration and Marketing from San Jose State University.</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Velchamy Sankarlingam. </w:t>
      </w:r>
      <w:r>
        <w:rPr>
          <w:rFonts w:ascii="Arial" w:cs="Arial" w:eastAsia="Arial" w:hAnsi="Arial"/>
          <w:sz w:val="18"/>
          <w:szCs w:val="18"/>
          <w:color w:val="auto"/>
        </w:rPr>
        <w:t>Mr. Sankarlingam has served as our President of Product and Engineering since June 2020.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Sankarlingam was at VMware, a provider of cloud computing and virtualization software and services, from June 2010 to June 2020, where he served various roles, most recently as Senior Vice President, Cloud Services Development and Operations. Prior to that, he served in various positions at Cisco Webex from June 2003 to June 2010. Mr. Sankarlingam has also worked at IBM, Accenture, Standard Microsystems and Network Computing Devices. Mr. Sankarlingam holds a B.E. in Electronics and Communication Engineering from College of Engineering, Guindy, Chennai in India, a M.S. in Computer Science from Northern Illinois University, a M.S. in Business and Policy from Stony Brook University and completed the Stanford Executive Program at Stanford University.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47"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December 2014 and Chief Financial Officer from March 2011 to December 2014. From May 2007 to March 2011, Ms. Steckelberg worked at Cisco, where her roles included Consumer Segment Finance Senior Director and divisional Chief Financial Officer for Cisco WebEx. Prior to joining Cisco, Ms. Steckelberg served as Controller and Chief Accounting Officer at WebEx, from May 2006 until its acquisition by Cisco Systems, Inc. in May 2007. Ms. Steckelberg holds a B.B.A. in Accounting and an MPA from the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935" w:right="339" w:bottom="1440" w:gutter="0" w:footer="0" w:header="0"/>
        </w:sectPr>
      </w:pPr>
    </w:p>
    <w:bookmarkStart w:id="34" w:name="page35"/>
    <w:bookmarkEnd w:id="3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became a public company in April 2019. As of February 1, 2021, we ceased to be an emerging growth company and, therefore, for the first time in last year’s proxy statement, we included additional detail regarding executive compensation that was previously not required, including a Compensation Discussion and Analysis. Consistent with the preference of our stockholders expressed in 2021 for annual say-on-pay advisory votes, we are holding an annual say-on-pay advisory vote in this proxy statement as Proposal 3.</w:t>
      </w:r>
    </w:p>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and objectives, discusses our executive compensation policies and analyzes how and why our Compensation Committee arrived at specific compensation decisions for fiscal year ended January 31, 2022, or fiscal 2022, for the individuals who served as our principal executive officer, our principal financial officer and our three other most highly compensated executive officers as of January 31, 2022, collectively referred to as our “named executive officers.”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fiscal 2022 are:</w:t>
      </w:r>
    </w:p>
    <w:p>
      <w:pPr>
        <w:spacing w:after="0" w:line="37" w:lineRule="exact"/>
        <w:rPr>
          <w:sz w:val="20"/>
          <w:szCs w:val="20"/>
          <w:color w:val="auto"/>
        </w:rPr>
      </w:pPr>
    </w:p>
    <w:tbl>
      <w:tblPr>
        <w:tblLayout w:type="fixed"/>
        <w:tblInd w:w="2580" w:type="dxa"/>
        <w:tblCellMar>
          <w:top w:w="0" w:type="dxa"/>
          <w:left w:w="0" w:type="dxa"/>
          <w:bottom w:w="0" w:type="dxa"/>
          <w:right w:w="0" w:type="dxa"/>
        </w:tblCellMar>
      </w:tblPr>
      <w:tr>
        <w:trPr>
          <w:trHeight w:val="223"/>
        </w:trPr>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442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Position(s)</w:t>
            </w:r>
          </w:p>
        </w:tc>
      </w:tr>
      <w:tr>
        <w:trPr>
          <w:trHeight w:val="179"/>
        </w:trPr>
        <w:tc>
          <w:tcPr>
            <w:tcW w:w="2300" w:type="dxa"/>
            <w:vAlign w:val="bottom"/>
            <w:gridSpan w:val="2"/>
            <w:shd w:val="clear" w:color="auto" w:fill="CCEEFF"/>
          </w:tcPr>
          <w:p>
            <w:pPr>
              <w:ind w:left="680"/>
              <w:spacing w:after="0" w:line="179" w:lineRule="exact"/>
              <w:rPr>
                <w:sz w:val="20"/>
                <w:szCs w:val="20"/>
                <w:color w:val="auto"/>
              </w:rPr>
            </w:pPr>
            <w:r>
              <w:rPr>
                <w:rFonts w:ascii="Arial" w:cs="Arial" w:eastAsia="Arial" w:hAnsi="Arial"/>
                <w:sz w:val="16"/>
                <w:szCs w:val="16"/>
                <w:color w:val="auto"/>
              </w:rPr>
              <w:t>Eric S. Yuan</w:t>
            </w:r>
          </w:p>
        </w:tc>
        <w:tc>
          <w:tcPr>
            <w:tcW w:w="4420" w:type="dxa"/>
            <w:vAlign w:val="bottom"/>
            <w:shd w:val="clear" w:color="auto" w:fill="CCEEFF"/>
          </w:tcPr>
          <w:p>
            <w:pPr>
              <w:ind w:left="660"/>
              <w:spacing w:after="0" w:line="179" w:lineRule="exact"/>
              <w:rPr>
                <w:sz w:val="20"/>
                <w:szCs w:val="20"/>
                <w:color w:val="auto"/>
              </w:rPr>
            </w:pPr>
            <w:r>
              <w:rPr>
                <w:rFonts w:ascii="Arial" w:cs="Arial" w:eastAsia="Arial" w:hAnsi="Arial"/>
                <w:sz w:val="16"/>
                <w:szCs w:val="16"/>
                <w:color w:val="auto"/>
              </w:rPr>
              <w:t>President  and  Chief  Executive  Officer  (principal</w:t>
            </w:r>
          </w:p>
        </w:tc>
      </w:tr>
      <w:tr>
        <w:trPr>
          <w:trHeight w:val="226"/>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officer)</w:t>
            </w:r>
          </w:p>
        </w:tc>
      </w:tr>
      <w:tr>
        <w:trPr>
          <w:trHeight w:val="220"/>
        </w:trPr>
        <w:tc>
          <w:tcPr>
            <w:tcW w:w="2300" w:type="dxa"/>
            <w:vAlign w:val="bottom"/>
            <w:gridSpan w:val="2"/>
          </w:tcPr>
          <w:p>
            <w:pPr>
              <w:ind w:left="680"/>
              <w:spacing w:after="0"/>
              <w:rPr>
                <w:sz w:val="20"/>
                <w:szCs w:val="20"/>
                <w:color w:val="auto"/>
              </w:rPr>
            </w:pPr>
            <w:r>
              <w:rPr>
                <w:rFonts w:ascii="Arial" w:cs="Arial" w:eastAsia="Arial" w:hAnsi="Arial"/>
                <w:sz w:val="16"/>
                <w:szCs w:val="16"/>
                <w:color w:val="auto"/>
              </w:rPr>
              <w:t>Kelly Steckelberg</w:t>
            </w:r>
          </w:p>
        </w:tc>
        <w:tc>
          <w:tcPr>
            <w:tcW w:w="4420" w:type="dxa"/>
            <w:vAlign w:val="bottom"/>
          </w:tcPr>
          <w:p>
            <w:pPr>
              <w:ind w:left="660"/>
              <w:spacing w:after="0"/>
              <w:rPr>
                <w:sz w:val="20"/>
                <w:szCs w:val="20"/>
                <w:color w:val="auto"/>
              </w:rPr>
            </w:pPr>
            <w:r>
              <w:rPr>
                <w:rFonts w:ascii="Arial" w:cs="Arial" w:eastAsia="Arial" w:hAnsi="Arial"/>
                <w:sz w:val="16"/>
                <w:szCs w:val="16"/>
                <w:color w:val="auto"/>
              </w:rPr>
              <w:t>Chief Financial Officer (principal financial officer)</w:t>
            </w:r>
          </w:p>
        </w:tc>
      </w:tr>
      <w:tr>
        <w:trPr>
          <w:trHeight w:val="239"/>
        </w:trPr>
        <w:tc>
          <w:tcPr>
            <w:tcW w:w="23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Ryan Azus</w:t>
            </w:r>
          </w:p>
        </w:tc>
        <w:tc>
          <w:tcPr>
            <w:tcW w:w="4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Chief Revenue Officer</w:t>
            </w:r>
          </w:p>
        </w:tc>
      </w:tr>
      <w:tr>
        <w:trPr>
          <w:trHeight w:val="220"/>
        </w:trPr>
        <w:tc>
          <w:tcPr>
            <w:tcW w:w="2300" w:type="dxa"/>
            <w:vAlign w:val="bottom"/>
            <w:gridSpan w:val="2"/>
          </w:tcPr>
          <w:p>
            <w:pPr>
              <w:ind w:left="680"/>
              <w:spacing w:after="0"/>
              <w:rPr>
                <w:sz w:val="20"/>
                <w:szCs w:val="20"/>
                <w:color w:val="auto"/>
              </w:rPr>
            </w:pPr>
            <w:r>
              <w:rPr>
                <w:rFonts w:ascii="Arial" w:cs="Arial" w:eastAsia="Arial" w:hAnsi="Arial"/>
                <w:sz w:val="16"/>
                <w:szCs w:val="16"/>
                <w:color w:val="auto"/>
              </w:rPr>
              <w:t>Aparna Bawa</w:t>
            </w:r>
          </w:p>
        </w:tc>
        <w:tc>
          <w:tcPr>
            <w:tcW w:w="4420" w:type="dxa"/>
            <w:vAlign w:val="bottom"/>
          </w:tcPr>
          <w:p>
            <w:pPr>
              <w:ind w:left="660"/>
              <w:spacing w:after="0"/>
              <w:rPr>
                <w:sz w:val="20"/>
                <w:szCs w:val="20"/>
                <w:color w:val="auto"/>
              </w:rPr>
            </w:pPr>
            <w:r>
              <w:rPr>
                <w:rFonts w:ascii="Arial" w:cs="Arial" w:eastAsia="Arial" w:hAnsi="Arial"/>
                <w:sz w:val="16"/>
                <w:szCs w:val="16"/>
                <w:color w:val="auto"/>
                <w:w w:val="97"/>
              </w:rPr>
              <w:t>Chief Operating Officer and Interim Chief Legal Officer</w:t>
            </w:r>
          </w:p>
        </w:tc>
      </w:tr>
      <w:tr>
        <w:trPr>
          <w:trHeight w:val="239"/>
        </w:trPr>
        <w:tc>
          <w:tcPr>
            <w:tcW w:w="23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Janine Pelosi</w:t>
            </w:r>
          </w:p>
        </w:tc>
        <w:tc>
          <w:tcPr>
            <w:tcW w:w="4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Chief Marketing Officer</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Fiscal 2022 Performance.</w:t>
      </w:r>
    </w:p>
    <w:p>
      <w:pPr>
        <w:spacing w:after="0" w:line="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Zoom’s business has evolved substantially over the three years since we have been a public company. In fiscal year 2022, we delivered strong results with total revenue of more than $4 billion growing 55% year over year along with increased profitability and operating cash flow growth as our global customer base continued to grow and find new use cases for our broadening communications platform. Looking forward, we are addressing a large opportunity as we expect customers will continue to transform how they work and engage with their customers. To sustain and enhance our leadership position, in fiscal year 2023 we plan to build out our platform to further enrich the customer experience with new cloud-based technologies and expand our go-to-market motions, which we believe will enable us to drive future growth.</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our fiscal year ended January 31, 2022, we achieved strong business results that provide context for stockholders reviewing our executive compensation disclosures, including:</w:t>
      </w:r>
    </w:p>
    <w:p>
      <w:pPr>
        <w:spacing w:after="0" w:line="3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fiscal year was $4,099.9 million, up 55% year over year.</w:t>
      </w:r>
    </w:p>
    <w:p>
      <w:pPr>
        <w:spacing w:after="0" w:line="117" w:lineRule="exact"/>
        <w:rPr>
          <w:rFonts w:ascii="Arial" w:cs="Arial" w:eastAsia="Arial" w:hAnsi="Arial"/>
          <w:sz w:val="18"/>
          <w:szCs w:val="18"/>
          <w:color w:val="auto"/>
        </w:rPr>
      </w:pPr>
    </w:p>
    <w:p>
      <w:pPr>
        <w:ind w:left="660" w:right="420" w:hanging="328"/>
        <w:spacing w:after="0" w:line="28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GAAP Income from Operations: </w:t>
      </w:r>
      <w:r>
        <w:rPr>
          <w:rFonts w:ascii="Arial" w:cs="Arial" w:eastAsia="Arial" w:hAnsi="Arial"/>
          <w:sz w:val="18"/>
          <w:szCs w:val="18"/>
          <w:color w:val="auto"/>
        </w:rPr>
        <w:t>GAAP income from operations for the fiscal year was $1,063.6 million, compared to GAAP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$659.8 million for fiscal year 2021, an increase of 61% year over year.</w:t>
      </w:r>
    </w:p>
    <w:p>
      <w:pPr>
        <w:spacing w:after="0" w:line="53" w:lineRule="exact"/>
        <w:rPr>
          <w:rFonts w:ascii="Arial" w:cs="Arial" w:eastAsia="Arial" w:hAnsi="Arial"/>
          <w:sz w:val="18"/>
          <w:szCs w:val="18"/>
          <w:color w:val="auto"/>
        </w:rPr>
      </w:pPr>
    </w:p>
    <w:p>
      <w:pPr>
        <w:ind w:left="660" w:right="140" w:hanging="328"/>
        <w:spacing w:after="0" w:line="28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$1,605.3 million for the fiscal year, compared to $1,471.2 million for fiscal year 2021,</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of 9% year over year.</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Enterprise Customers: </w:t>
      </w:r>
      <w:r>
        <w:rPr>
          <w:rFonts w:ascii="Arial" w:cs="Arial" w:eastAsia="Arial" w:hAnsi="Arial"/>
          <w:sz w:val="17"/>
          <w:szCs w:val="17"/>
          <w:color w:val="auto"/>
        </w:rPr>
        <w:t>At the end of the fiscal year 2022, we had approximately 191,000 Enterprise customers, up 35%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Fiscal 2022 Executive Compensation Highlights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Compensation Committee has closely considered the significant corporate achievements described above and our transformation as a company in making executive compensation decisions. As we have grown and our business has transformed significantly in a short period of time since we first became a public company in April 2019, our compensation programs are also continuing to evolve and transform for those appropriate to our size and stage of business. As such, our compensation has varied and our practices may differ from the typical practices of public companies that have been operating for longer periods of time in a less volatile and dynamic environment. We carefully evaluate our compensation arrangements and develop programs that we feel are the most appropriate to drive results for our company and our stockholders, and we make changes to move our Company forward and ensure that our pay program aligns our executives' compensation with our stockholders' interests and our Company performance over the long-term.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our operational and financial performance, and in light of the other factors described in this Compensation Discussion and Analysis,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made the following named executive officer compensation decisions for fiscal 2022:</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did not increase base salaries for any of our named executive officers in fiscal 2022.</w:t>
      </w:r>
    </w:p>
    <w:p>
      <w:pPr>
        <w:spacing w:after="0" w:line="238" w:lineRule="exact"/>
        <w:rPr>
          <w:sz w:val="20"/>
          <w:szCs w:val="20"/>
          <w:color w:val="auto"/>
        </w:rPr>
      </w:pPr>
    </w:p>
    <w:p>
      <w:pPr>
        <w:ind w:left="660" w:hanging="324"/>
        <w:spacing w:after="0" w:line="279"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Annual Performance Incentive</w:t>
      </w:r>
      <w:r>
        <w:rPr>
          <w:rFonts w:ascii="Arial" w:cs="Arial" w:eastAsia="Arial" w:hAnsi="Arial"/>
          <w:sz w:val="16"/>
          <w:szCs w:val="16"/>
          <w:color w:val="auto"/>
        </w:rPr>
        <w:t>: We did not increase target incentive award opportunities, which continued to represent 8% of base salary for each named executive officer (other than Mr. Azus, who also partially participated in our sales compensation plan for fiscal 2022, at a reduced target level from fiscal 2021, as further described below). We structured our fiscal 2022 performance incentive program to be based on two key financial metrics that drive our business (net MRR and non-GAAP Income from Operations), and we paid cash incentives to all named executive officers under such plan based solely on achievement against such financial metrics, resulting in a payout at 55.1% of target for fiscal 2022.</w:t>
      </w:r>
    </w:p>
    <w:p>
      <w:pPr>
        <w:spacing w:after="0" w:line="186" w:lineRule="exact"/>
        <w:rPr>
          <w:sz w:val="20"/>
          <w:szCs w:val="20"/>
          <w:color w:val="auto"/>
        </w:rPr>
      </w:pPr>
    </w:p>
    <w:p>
      <w:pPr>
        <w:ind w:left="660" w:hanging="324"/>
        <w:spacing w:after="0" w:line="26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Long-Term Equity Awards</w:t>
      </w:r>
      <w:r>
        <w:rPr>
          <w:rFonts w:ascii="Arial" w:cs="Arial" w:eastAsia="Arial" w:hAnsi="Arial"/>
          <w:sz w:val="17"/>
          <w:szCs w:val="17"/>
          <w:color w:val="auto"/>
        </w:rPr>
        <w:t>: We did not grant any equity awards to any of our named executive officers in fiscal 2022 because our Compensation Committee determined our named executive officers’ then-current equity ownership (including the extent, and value, of vested equity holdings and unvested equity opportunities) continued to be appropriate for incentive and retention purposes for fiscal 2022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compensation program adheres to the following practices:</w:t>
      </w:r>
    </w:p>
    <w:p>
      <w:pPr>
        <w:spacing w:after="0" w:line="280" w:lineRule="exact"/>
        <w:rPr>
          <w:sz w:val="20"/>
          <w:szCs w:val="20"/>
          <w:color w:val="auto"/>
        </w:rPr>
      </w:pPr>
    </w:p>
    <w:tbl>
      <w:tblPr>
        <w:tblLayout w:type="fixed"/>
        <w:tblInd w:w="1060" w:type="dxa"/>
        <w:tblCellMar>
          <w:top w:w="0" w:type="dxa"/>
          <w:left w:w="0" w:type="dxa"/>
          <w:bottom w:w="0" w:type="dxa"/>
          <w:right w:w="0" w:type="dxa"/>
        </w:tblCellMar>
      </w:tblPr>
      <w:tr>
        <w:trPr>
          <w:trHeight w:val="223"/>
        </w:trPr>
        <w:tc>
          <w:tcPr>
            <w:tcW w:w="434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What We Do</w:t>
            </w:r>
          </w:p>
        </w:tc>
        <w:tc>
          <w:tcPr>
            <w:tcW w:w="120" w:type="dxa"/>
            <w:vAlign w:val="bottom"/>
          </w:tcPr>
          <w:p>
            <w:pPr>
              <w:spacing w:after="0"/>
              <w:rPr>
                <w:sz w:val="19"/>
                <w:szCs w:val="19"/>
                <w:color w:val="auto"/>
              </w:rPr>
            </w:pPr>
          </w:p>
        </w:tc>
        <w:tc>
          <w:tcPr>
            <w:tcW w:w="466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What We Don’t Do</w:t>
            </w:r>
          </w:p>
        </w:tc>
      </w:tr>
      <w:tr>
        <w:trPr>
          <w:trHeight w:val="332"/>
        </w:trPr>
        <w:tc>
          <w:tcPr>
            <w:tcW w:w="4460" w:type="dxa"/>
            <w:vAlign w:val="bottom"/>
            <w:gridSpan w:val="2"/>
          </w:tcPr>
          <w:p>
            <w:pPr>
              <w:ind w:left="180"/>
              <w:spacing w:after="0"/>
              <w:rPr>
                <w:sz w:val="20"/>
                <w:szCs w:val="20"/>
                <w:color w:val="auto"/>
              </w:rPr>
            </w:pPr>
            <w:r>
              <w:rPr>
                <w:rFonts w:ascii="Arial" w:cs="Arial" w:eastAsia="Arial" w:hAnsi="Arial"/>
                <w:sz w:val="16"/>
                <w:szCs w:val="16"/>
                <w:color w:val="auto"/>
              </w:rPr>
              <w:t>ü Emphasize long-term equity incentives</w:t>
            </w:r>
          </w:p>
        </w:tc>
        <w:tc>
          <w:tcPr>
            <w:tcW w:w="4660" w:type="dxa"/>
            <w:vAlign w:val="bottom"/>
          </w:tcPr>
          <w:p>
            <w:pPr>
              <w:ind w:left="180"/>
              <w:spacing w:after="0"/>
              <w:rPr>
                <w:sz w:val="20"/>
                <w:szCs w:val="20"/>
                <w:color w:val="auto"/>
              </w:rPr>
            </w:pPr>
            <w:r>
              <w:rPr>
                <w:rFonts w:ascii="Arial" w:cs="Arial" w:eastAsia="Arial" w:hAnsi="Arial"/>
                <w:sz w:val="16"/>
                <w:szCs w:val="16"/>
                <w:color w:val="auto"/>
              </w:rPr>
              <w:t>û No guaranteed “single-trigger” change in control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-218440</wp:posOffset>
            </wp:positionV>
            <wp:extent cx="5795010" cy="2151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15138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91" w:lineRule="exact"/>
        <w:rPr>
          <w:sz w:val="20"/>
          <w:szCs w:val="20"/>
          <w:color w:val="auto"/>
        </w:rPr>
      </w:pPr>
    </w:p>
    <w:p>
      <w:pPr>
        <w:ind w:left="1080" w:right="240" w:firstLine="161"/>
        <w:spacing w:after="0" w:line="275"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Tie performance cash incentive opportunities to defined business objectives</w:t>
      </w:r>
    </w:p>
    <w:p>
      <w:pPr>
        <w:spacing w:after="0" w:line="64" w:lineRule="exact"/>
        <w:rPr>
          <w:rFonts w:ascii="Arial" w:cs="Arial" w:eastAsia="Arial" w:hAnsi="Arial"/>
          <w:sz w:val="16"/>
          <w:szCs w:val="16"/>
          <w:color w:val="auto"/>
        </w:rPr>
      </w:pPr>
    </w:p>
    <w:p>
      <w:pPr>
        <w:ind w:left="1080" w:right="240" w:firstLine="161"/>
        <w:spacing w:after="0" w:line="275"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transparent disclosure of performance incentive targets and payout structure</w:t>
      </w:r>
    </w:p>
    <w:p>
      <w:pPr>
        <w:spacing w:after="0" w:line="64" w:lineRule="exact"/>
        <w:rPr>
          <w:rFonts w:ascii="Arial" w:cs="Arial" w:eastAsia="Arial" w:hAnsi="Arial"/>
          <w:sz w:val="16"/>
          <w:szCs w:val="16"/>
          <w:color w:val="auto"/>
        </w:rPr>
      </w:pPr>
    </w:p>
    <w:p>
      <w:pPr>
        <w:ind w:left="1080" w:right="120" w:firstLine="161"/>
        <w:spacing w:after="0" w:line="261"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Structure severance benefits as “double-trigger” requiring both a change in control and an involuntary termination for payout</w:t>
      </w:r>
    </w:p>
    <w:p>
      <w:pPr>
        <w:spacing w:after="0" w:line="74" w:lineRule="exact"/>
        <w:rPr>
          <w:rFonts w:ascii="Arial" w:cs="Arial" w:eastAsia="Arial" w:hAnsi="Arial"/>
          <w:sz w:val="16"/>
          <w:szCs w:val="16"/>
          <w:color w:val="auto"/>
        </w:rPr>
      </w:pPr>
    </w:p>
    <w:p>
      <w:pPr>
        <w:ind w:left="1380" w:hanging="139"/>
        <w:spacing w:after="0"/>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 a clawback policy</w:t>
      </w:r>
    </w:p>
    <w:p>
      <w:pPr>
        <w:spacing w:after="0" w:line="113" w:lineRule="exact"/>
        <w:rPr>
          <w:rFonts w:ascii="Arial" w:cs="Arial" w:eastAsia="Arial" w:hAnsi="Arial"/>
          <w:sz w:val="16"/>
          <w:szCs w:val="16"/>
          <w:color w:val="auto"/>
        </w:rPr>
      </w:pPr>
    </w:p>
    <w:p>
      <w:pPr>
        <w:ind w:left="1380" w:hanging="139"/>
        <w:spacing w:after="0"/>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Assess risks of our compensation program</w:t>
      </w:r>
    </w:p>
    <w:p>
      <w:pPr>
        <w:spacing w:after="0" w:line="113" w:lineRule="exact"/>
        <w:rPr>
          <w:rFonts w:ascii="Arial" w:cs="Arial" w:eastAsia="Arial" w:hAnsi="Arial"/>
          <w:sz w:val="16"/>
          <w:szCs w:val="16"/>
          <w:color w:val="auto"/>
        </w:rPr>
      </w:pPr>
    </w:p>
    <w:p>
      <w:pPr>
        <w:ind w:left="1080" w:firstLine="161"/>
        <w:spacing w:after="0" w:line="275" w:lineRule="auto"/>
        <w:tabs>
          <w:tab w:leader="none" w:pos="13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 a Compensation Committee comprised entirely of independent directors</w:t>
      </w:r>
    </w:p>
    <w:p>
      <w:pPr>
        <w:spacing w:after="0" w:line="64" w:lineRule="exact"/>
        <w:rPr>
          <w:rFonts w:ascii="Arial" w:cs="Arial" w:eastAsia="Arial" w:hAnsi="Arial"/>
          <w:sz w:val="16"/>
          <w:szCs w:val="16"/>
          <w:color w:val="auto"/>
        </w:rPr>
      </w:pPr>
    </w:p>
    <w:p>
      <w:pPr>
        <w:ind w:left="1380" w:hanging="139"/>
        <w:spacing w:after="0"/>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Retain an independent compensation advisor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56" w:right="1080" w:firstLine="156"/>
        <w:spacing w:after="0" w:line="275" w:lineRule="auto"/>
        <w:tabs>
          <w:tab w:leader="none" w:pos="1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tax reimbursements or tax gross-ups on severance or change in control payments</w:t>
      </w:r>
    </w:p>
    <w:p>
      <w:pPr>
        <w:spacing w:after="0" w:line="64" w:lineRule="exact"/>
        <w:rPr>
          <w:rFonts w:ascii="Arial" w:cs="Arial" w:eastAsia="Arial" w:hAnsi="Arial"/>
          <w:sz w:val="16"/>
          <w:szCs w:val="16"/>
          <w:color w:val="auto"/>
        </w:rPr>
      </w:pPr>
    </w:p>
    <w:p>
      <w:pPr>
        <w:ind w:left="-156" w:right="1440" w:firstLine="156"/>
        <w:spacing w:after="0" w:line="275" w:lineRule="auto"/>
        <w:tabs>
          <w:tab w:leader="none" w:pos="1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special executive welfare or health benefits, or retirement plans not available to our employees generally</w:t>
      </w:r>
    </w:p>
    <w:p>
      <w:pPr>
        <w:spacing w:after="0" w:line="64" w:lineRule="exact"/>
        <w:rPr>
          <w:rFonts w:ascii="Arial" w:cs="Arial" w:eastAsia="Arial" w:hAnsi="Arial"/>
          <w:sz w:val="16"/>
          <w:szCs w:val="16"/>
          <w:color w:val="auto"/>
        </w:rPr>
      </w:pPr>
    </w:p>
    <w:p>
      <w:pPr>
        <w:ind w:left="144" w:hanging="144"/>
        <w:spacing w:after="0"/>
        <w:tabs>
          <w:tab w:leader="none" w:pos="1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guaranteed salary increases or bonuses</w:t>
      </w:r>
    </w:p>
    <w:p>
      <w:pPr>
        <w:spacing w:after="0" w:line="113" w:lineRule="exact"/>
        <w:rPr>
          <w:rFonts w:ascii="Arial" w:cs="Arial" w:eastAsia="Arial" w:hAnsi="Arial"/>
          <w:sz w:val="16"/>
          <w:szCs w:val="16"/>
          <w:color w:val="auto"/>
        </w:rPr>
      </w:pPr>
    </w:p>
    <w:p>
      <w:pPr>
        <w:ind w:left="144" w:hanging="144"/>
        <w:spacing w:after="0"/>
        <w:tabs>
          <w:tab w:leader="none" w:pos="1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hedging or pledging of our stock</w:t>
      </w:r>
    </w:p>
    <w:p>
      <w:pPr>
        <w:spacing w:after="0" w:line="1657" w:lineRule="exact"/>
        <w:rPr>
          <w:sz w:val="20"/>
          <w:szCs w:val="20"/>
          <w:color w:val="auto"/>
        </w:rPr>
      </w:pPr>
    </w:p>
    <w:p>
      <w:pPr>
        <w:sectPr>
          <w:pgSz w:w="11900" w:h="16838" w:orient="portrait"/>
          <w:cols w:equalWidth="0" w:num="2">
            <w:col w:w="5240" w:space="456"/>
            <w:col w:w="5544"/>
          </w:cols>
          <w:pgMar w:left="320" w:top="1421" w:right="3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our proxy statement last year, we sought our first advisory vote from our stockholders regarding our executive officer compensation program and received a 94% favorable vote supporting the program. Our Compensation Committee reviewed the final vote results of the advisory vote and, given the significant level of support, concluded that our executive compensation program provided a competitive performance package that incentivizes our named executive officers and encourages their retention over the long-term. Accordingly, the Compensation Committee determined not to make any significant changes to our executive compensation policies or decisions as a result of the vote; however, our Compensation Committee will monitor and continually evaluate our compensation program going forward in light of our stockholders’ views and our transforming business needs. Our Compensation Committee expects to continue to consider the outcome of our say-on-pay votes and our stockholders' views when making future compensation decisions for our named executive officers.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Zoom’s compensation philosophy is to employ market-competitive compensation programs and relevant total rewards offerings that reflect Zoom’s culture and values in order to deliver happiness to its employees and recognize their value to our organization.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compensation program aims to achieve the following main objectives:</w:t>
      </w:r>
    </w:p>
    <w:p>
      <w:pPr>
        <w:spacing w:after="0" w:line="239"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retain and reward top talent;</w:t>
      </w:r>
    </w:p>
    <w:p>
      <w:pPr>
        <w:spacing w:after="0" w:line="238" w:lineRule="exact"/>
        <w:rPr>
          <w:rFonts w:ascii="Arial" w:cs="Arial" w:eastAsia="Arial" w:hAnsi="Arial"/>
          <w:sz w:val="18"/>
          <w:szCs w:val="18"/>
          <w:color w:val="auto"/>
        </w:rPr>
      </w:pPr>
    </w:p>
    <w:p>
      <w:pPr>
        <w:ind w:left="1300" w:right="140" w:hanging="320"/>
        <w:spacing w:after="0" w:line="261"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incentives that motivate and reward for achievement of our key performance goals that increase stockholder value over the long term;</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apply a market-based compensation structure that balances internal equity and that reflects our culture and values; and</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Our executive compensation program aims to take a holistic approach to compensation and generally consists of, and is intended to strike a balance among, the following three principal components: base salary, performance-based incentive, and long-term incentive compensation. We also provide our executive officers with severance and change in 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their objectives, and key features.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1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Objectives</w:t>
            </w:r>
          </w:p>
        </w:tc>
        <w:tc>
          <w:tcPr>
            <w:tcW w:w="12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Key Features</w:t>
            </w:r>
          </w:p>
        </w:tc>
      </w:tr>
      <w:tr>
        <w:trPr>
          <w:trHeight w:val="175"/>
        </w:trPr>
        <w:tc>
          <w:tcPr>
            <w:tcW w:w="19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Base Salary</w:t>
            </w:r>
          </w:p>
        </w:tc>
        <w:tc>
          <w:tcPr>
            <w:tcW w:w="12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Provides  financial  stability  and  security</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Fixed compensation that is periodically reviewed</w:t>
            </w:r>
          </w:p>
        </w:tc>
      </w:tr>
      <w:tr>
        <w:trPr>
          <w:trHeight w:val="180"/>
        </w:trPr>
        <w:tc>
          <w:tcPr>
            <w:tcW w:w="20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(fixed cash)</w:t>
            </w:r>
          </w:p>
        </w:tc>
        <w:tc>
          <w:tcPr>
            <w:tcW w:w="322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6"/>
                <w:szCs w:val="16"/>
                <w:color w:val="auto"/>
                <w:w w:val="98"/>
              </w:rPr>
              <w:t>through a fixed amount of cash for performing</w:t>
            </w:r>
          </w:p>
        </w:tc>
        <w:tc>
          <w:tcPr>
            <w:tcW w:w="32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and adjusted if and when appropriate.</w:t>
            </w:r>
          </w:p>
        </w:tc>
      </w:tr>
      <w:tr>
        <w:trPr>
          <w:trHeight w:val="219"/>
        </w:trPr>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job responsibilities.</w:t>
            </w:r>
          </w:p>
        </w:tc>
        <w:tc>
          <w:tcPr>
            <w:tcW w:w="3240" w:type="dxa"/>
            <w:vAlign w:val="bottom"/>
            <w:tcBorders>
              <w:bottom w:val="single" w:sz="8" w:color="CCEEFF"/>
            </w:tcBorders>
            <w:shd w:val="clear" w:color="auto" w:fill="CCEEFF"/>
          </w:tcPr>
          <w:p>
            <w:pPr>
              <w:spacing w:after="0"/>
              <w:rPr>
                <w:sz w:val="19"/>
                <w:szCs w:val="19"/>
                <w:color w:val="auto"/>
              </w:rPr>
            </w:pPr>
          </w:p>
        </w:tc>
      </w:tr>
      <w:tr>
        <w:trPr>
          <w:trHeight w:val="175"/>
        </w:trPr>
        <w:tc>
          <w:tcPr>
            <w:tcW w:w="2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Performance Incentive (at-</w:t>
            </w: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Motivates   and   rewards   for   attaining</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Incentive  opportunities  are  dependent  upon</w:t>
            </w:r>
          </w:p>
        </w:tc>
      </w:tr>
      <w:tr>
        <w:trPr>
          <w:trHeight w:val="180"/>
        </w:trPr>
        <w:tc>
          <w:tcPr>
            <w:tcW w:w="204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risk cash)</w:t>
            </w:r>
          </w:p>
        </w:tc>
        <w:tc>
          <w:tcPr>
            <w:tcW w:w="3220" w:type="dxa"/>
            <w:vAlign w:val="bottom"/>
            <w:gridSpan w:val="2"/>
          </w:tcPr>
          <w:p>
            <w:pPr>
              <w:ind w:left="20"/>
              <w:spacing w:after="0" w:line="180" w:lineRule="exact"/>
              <w:rPr>
                <w:sz w:val="20"/>
                <w:szCs w:val="20"/>
                <w:color w:val="auto"/>
              </w:rPr>
            </w:pPr>
            <w:r>
              <w:rPr>
                <w:rFonts w:ascii="Arial" w:cs="Arial" w:eastAsia="Arial" w:hAnsi="Arial"/>
                <w:sz w:val="16"/>
                <w:szCs w:val="16"/>
                <w:color w:val="auto"/>
                <w:w w:val="99"/>
              </w:rPr>
              <w:t>performance goals that are key drivers of our</w:t>
            </w:r>
          </w:p>
        </w:tc>
        <w:tc>
          <w:tcPr>
            <w:tcW w:w="3240" w:type="dxa"/>
            <w:vAlign w:val="bottom"/>
          </w:tcPr>
          <w:p>
            <w:pPr>
              <w:ind w:left="20"/>
              <w:spacing w:after="0" w:line="180" w:lineRule="exact"/>
              <w:rPr>
                <w:sz w:val="20"/>
                <w:szCs w:val="20"/>
                <w:color w:val="auto"/>
              </w:rPr>
            </w:pPr>
            <w:r>
              <w:rPr>
                <w:rFonts w:ascii="Arial" w:cs="Arial" w:eastAsia="Arial" w:hAnsi="Arial"/>
                <w:sz w:val="16"/>
                <w:szCs w:val="16"/>
                <w:color w:val="auto"/>
                <w:w w:val="99"/>
              </w:rPr>
              <w:t>specific  performance  goals  (which  may  be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annual operating plan.</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corporate performance goals and/or individual</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5"/>
              </w:rPr>
              <w:t>performance goals or sales goals in the case of</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9"/>
              </w:rPr>
              <w:t>executives subject to our sales compensation</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plan). Each goal has a defined threshold level</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89"/>
              </w:rPr>
              <w:t>necessary for any payout and a reasonable cap on</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payout. Actual incentive amounts earned are</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determined after the end of the performance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period  (quarterly  or  annually),  taking  into</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account the extent to which the performance</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5"/>
              </w:rPr>
              <w:t>goals  have  been  achieved  (and  any  relative</w:t>
            </w:r>
          </w:p>
        </w:tc>
      </w:tr>
      <w:tr>
        <w:trPr>
          <w:trHeight w:val="206"/>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weightings of such goals).</w:t>
            </w:r>
          </w:p>
        </w:tc>
      </w:tr>
      <w:tr>
        <w:trPr>
          <w:trHeight w:val="343"/>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Long-Term Incentive</w:t>
            </w:r>
          </w:p>
        </w:tc>
        <w:tc>
          <w:tcPr>
            <w:tcW w:w="3220" w:type="dxa"/>
            <w:vAlign w:val="bottom"/>
            <w:gridSpan w:val="2"/>
          </w:tcPr>
          <w:p>
            <w:pPr>
              <w:ind w:left="20"/>
              <w:spacing w:after="0"/>
              <w:rPr>
                <w:sz w:val="20"/>
                <w:szCs w:val="20"/>
                <w:color w:val="auto"/>
              </w:rPr>
            </w:pPr>
            <w:r>
              <w:rPr>
                <w:rFonts w:ascii="Arial" w:cs="Arial" w:eastAsia="Arial" w:hAnsi="Arial"/>
                <w:sz w:val="16"/>
                <w:szCs w:val="16"/>
                <w:color w:val="auto"/>
                <w:w w:val="96"/>
              </w:rPr>
              <w:t>Motivates and rewards for long-term Company</w:t>
            </w:r>
          </w:p>
        </w:tc>
        <w:tc>
          <w:tcPr>
            <w:tcW w:w="3240" w:type="dxa"/>
            <w:vAlign w:val="bottom"/>
          </w:tcPr>
          <w:p>
            <w:pPr>
              <w:ind w:left="20"/>
              <w:spacing w:after="0"/>
              <w:rPr>
                <w:sz w:val="20"/>
                <w:szCs w:val="20"/>
                <w:color w:val="auto"/>
              </w:rPr>
            </w:pPr>
            <w:r>
              <w:rPr>
                <w:rFonts w:ascii="Arial" w:cs="Arial" w:eastAsia="Arial" w:hAnsi="Arial"/>
                <w:sz w:val="16"/>
                <w:szCs w:val="16"/>
                <w:color w:val="auto"/>
              </w:rPr>
              <w:t>We  have  not  historically  granted  equity</w:t>
            </w:r>
          </w:p>
        </w:tc>
      </w:tr>
      <w:tr>
        <w:trPr>
          <w:trHeight w:val="180"/>
        </w:trPr>
        <w:tc>
          <w:tcPr>
            <w:tcW w:w="204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(at-risk equity)</w:t>
            </w:r>
          </w:p>
        </w:tc>
        <w:tc>
          <w:tcPr>
            <w:tcW w:w="3220" w:type="dxa"/>
            <w:vAlign w:val="bottom"/>
            <w:gridSpan w:val="2"/>
          </w:tcPr>
          <w:p>
            <w:pPr>
              <w:ind w:left="20"/>
              <w:spacing w:after="0" w:line="180" w:lineRule="exact"/>
              <w:rPr>
                <w:sz w:val="20"/>
                <w:szCs w:val="20"/>
                <w:color w:val="auto"/>
              </w:rPr>
            </w:pPr>
            <w:r>
              <w:rPr>
                <w:rFonts w:ascii="Arial" w:cs="Arial" w:eastAsia="Arial" w:hAnsi="Arial"/>
                <w:sz w:val="16"/>
                <w:szCs w:val="16"/>
                <w:color w:val="auto"/>
                <w:w w:val="98"/>
              </w:rPr>
              <w:t>performance; aligns executives’ interests with</w:t>
            </w:r>
          </w:p>
        </w:tc>
        <w:tc>
          <w:tcPr>
            <w:tcW w:w="3240" w:type="dxa"/>
            <w:vAlign w:val="bottom"/>
          </w:tcPr>
          <w:p>
            <w:pPr>
              <w:ind w:left="20"/>
              <w:spacing w:after="0" w:line="180" w:lineRule="exact"/>
              <w:rPr>
                <w:sz w:val="20"/>
                <w:szCs w:val="20"/>
                <w:color w:val="auto"/>
              </w:rPr>
            </w:pPr>
            <w:r>
              <w:rPr>
                <w:rFonts w:ascii="Arial" w:cs="Arial" w:eastAsia="Arial" w:hAnsi="Arial"/>
                <w:sz w:val="16"/>
                <w:szCs w:val="16"/>
                <w:color w:val="auto"/>
                <w:w w:val="91"/>
              </w:rPr>
              <w:t>incentives on a regular annual "refresh" cadence.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stockholder   interests   and   changes   in</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6"/>
              </w:rPr>
              <w:t>Equity incentives may be granted as and when</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stockholder value. Attracts highly qualified</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we  determine  appropriate  for  new  hires,</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8"/>
              </w:rPr>
              <w:t>executives  and  encourages  their  continued</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2"/>
              </w:rPr>
              <w:t>promotions, or other special circumstances, such</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employment over the long term.</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as to encourage retention, or as a reward for</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4"/>
              </w:rPr>
              <w:t>significant achievement. Equity grants since our</w:t>
            </w:r>
          </w:p>
        </w:tc>
      </w:t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w w:val="97"/>
              </w:rPr>
              <w:t>initial public offering have been provided in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-902335</wp:posOffset>
            </wp:positionV>
            <wp:extent cx="5408930" cy="1225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8930" cy="1225550"/>
                    </a:xfrm>
                    <a:prstGeom prst="rect">
                      <a:avLst/>
                    </a:prstGeom>
                    <a:noFill/>
                  </pic:spPr>
                </pic:pic>
              </a:graphicData>
            </a:graphic>
          </wp:anchor>
        </w:drawing>
      </w:r>
    </w:p>
    <w:p>
      <w:pPr>
        <w:ind w:left="6660"/>
        <w:spacing w:after="0" w:line="228" w:lineRule="auto"/>
        <w:rPr>
          <w:sz w:val="20"/>
          <w:szCs w:val="20"/>
          <w:color w:val="auto"/>
        </w:rPr>
      </w:pPr>
      <w:r>
        <w:rPr>
          <w:rFonts w:ascii="Arial" w:cs="Arial" w:eastAsia="Arial" w:hAnsi="Arial"/>
          <w:sz w:val="16"/>
          <w:szCs w:val="16"/>
          <w:color w:val="auto"/>
        </w:rPr>
        <w:t>form of restricted stock unit awards that vest</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over a multi-year period.</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How We Determine Executive Compensation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performance incentive,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The Compensation Committee does not maintain a formal policy regarding the timing of equity awards to our executive officers and has not historically provided for annual refresh grants to executive officers each year but instead grants for equity awards when it determines appropriate, which typically includes when an executive officer is hired or promoted and at other times the Compensation Committee determines appropriate for retention or other purposes. The Compensation Committee typically grants equity awards on regularly scheduled dates that occur twice a quarter. The Compensation Committee will continue to evaluate its equity grant policies as we continue to evolve and grow as a public company.</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Compensation Committee works with and receives information and analyses from management, including within our legal, finance, and human resources departments, and our Chief Executive Officer, and considers such information and analyses in determining the structure and amount of compensation to be paid to our executive officers, including our named executive officers. Our Chief Executive Officer evaluates and provides to the Compensation Committee executive officer performance assessments and management’s recommendations and proposals regarding executive officer compensation programs and decisions affecting base salaries, performance incentives, equity compensation, and other compensation-related matters outside of the presence of any other named executive officers.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Members of management, including our Chief Executive Officer, may attend portions of our Compensation Committee’s meetings; however, our Chief Executive Officer is not present during decisions regarding his compensation.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During fiscal 2022, the Compensation Committee retained Aon’s Human Capital Solutions practice (formerly known as Radford), a division of Aon plc (“Aon”), as its independent compensation consultant due to its extensive analytical and compensation expertise relating to technology companies. In this capacity, Aon has advised the Compensation Committee on compensation matters related to the executive and director compensation structure. In fiscal 2022, Aon assisted with, among other things:</w:t>
      </w:r>
    </w:p>
    <w:p>
      <w:pPr>
        <w:spacing w:after="0" w:line="324"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conducting an executive market pay analysis;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 group of peer companies to use as a reference in making executive compensation decisions;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7" w:right="339" w:bottom="1440" w:gutter="0" w:footer="0" w:header="0"/>
        </w:sectPr>
      </w:pPr>
    </w:p>
    <w:bookmarkStart w:id="39" w:name="page40"/>
    <w:bookmarkEnd w:id="39"/>
    <w:p>
      <w:pPr>
        <w:spacing w:after="0" w:line="90"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current executive pay practices and considering alternative compensation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our director compensation policies and practices;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assisting in the development of this Compensation Disclosure and Analysis.</w:t>
      </w:r>
    </w:p>
    <w:p>
      <w:pPr>
        <w:spacing w:after="0" w:line="3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Compensation Committee has the sole authority to engage and terminate Aon’s services, as well as to approve its compensation. Aon makes recommendations to the Compensation Committee but has no authority to make compensation decisions on behalf of the Compensation Committee or the Company. Aon reported to the Compensation Committee and had direct access to the chairperson and the other members of the Compensation Committee. Beyond data and advice related to executive and director compensation matters, Aon did not provide other services to our Company in fiscal 2022.</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Compensation Committee has analyzed whether the work of Aon as the compensation consultant raised any conflict of interest, considering relevant factors in accordance with SEC guidelines. Based on its analysis, our Compensation Committee determined that the work of Aon and the individual compensation advisors has conformed to the independence factors and guidance provided by the Dodd-Frank Wall Street Reform and Consumer Protection Act of 2010, the SEC and the Nasdaq listing standards.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Competitive Market Compensation Data</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Compensation Committee believes that it is important when making compensation decisions to be informed as to the current practices of comparable public companies with which we compete for top talent. To this end, the Compensation Committee works annually with Aon to review and amend the list of our peer group companies to be used in connection with assessing compensation practices and pay levels. The Compensation Committee believes that the peer and market data provided by Aon,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2022 Peer Group</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August 2020, Aon proposed, and the Compensation Committee approved, a group of companies that would be appropriate peers for fiscal 2022 compensation decisions, based on the following criteria:</w:t>
      </w:r>
    </w:p>
    <w:p>
      <w:pPr>
        <w:spacing w:after="0" w:line="306" w:lineRule="exact"/>
        <w:rPr>
          <w:sz w:val="20"/>
          <w:szCs w:val="20"/>
          <w:color w:val="auto"/>
        </w:rPr>
      </w:pPr>
    </w:p>
    <w:p>
      <w:pPr>
        <w:ind w:left="1300" w:hanging="320"/>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communication products/services and software-related companies (with a focus on companies that have gone public in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Market Capitalization</w:t>
      </w:r>
      <w:r>
        <w:rPr>
          <w:rFonts w:ascii="Arial" w:cs="Arial" w:eastAsia="Arial" w:hAnsi="Arial"/>
          <w:sz w:val="18"/>
          <w:szCs w:val="18"/>
          <w:color w:val="auto"/>
        </w:rPr>
        <w:t>: 0.3x to 3x of our market value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0.3x to 3x of our revenues</w:t>
      </w:r>
    </w:p>
    <w:p>
      <w:pPr>
        <w:spacing w:after="0" w:line="360"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At the time, our projected annual revenue was approximately $3 billion, and our 30-day average market capitalization was approximately $73 billion. Using the above criteria, the following 17 companies were identified as appropriately sized for our peer group by the Compensation Committee for the purpose of informing executive pay decisions for fiscal 2022:</w:t>
      </w: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Autodesk, Inc.*</w:t>
            </w: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Okta, Inc.</w:t>
            </w: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Splunk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Coupa Software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Networks,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Trade Desk,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CrowdStrike Holdings,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RingCentral,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Twilio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Datadog,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ServiceNow,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Veeva Systems Inc.</w:t>
            </w:r>
          </w:p>
        </w:tc>
      </w:tr>
      <w:tr>
        <w:trPr>
          <w:trHeight w:val="229"/>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DocuSign,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Shopify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Workday, Inc.*</w:t>
            </w:r>
          </w:p>
        </w:tc>
      </w:tr>
      <w:tr>
        <w:trPr>
          <w:trHeight w:val="243"/>
        </w:trPr>
        <w:tc>
          <w:tcPr>
            <w:tcW w:w="2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Intuit Inc.*</w:t>
            </w: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Slack Technologies, Inc.</w:t>
            </w:r>
          </w:p>
        </w:tc>
        <w:tc>
          <w:tcPr>
            <w:tcW w:w="2800" w:type="dxa"/>
            <w:vAlign w:val="bottom"/>
            <w:tcBorders>
              <w:bottom w:val="single" w:sz="8" w:color="auto"/>
            </w:tcBorders>
            <w:shd w:val="clear" w:color="auto" w:fill="CCEEFF"/>
          </w:tcPr>
          <w:p>
            <w:pPr>
              <w:spacing w:after="0"/>
              <w:rPr>
                <w:sz w:val="21"/>
                <w:szCs w:val="21"/>
                <w:color w:val="auto"/>
              </w:rPr>
            </w:pPr>
          </w:p>
        </w:tc>
      </w:tr>
      <w:tr>
        <w:trPr>
          <w:trHeight w:val="210"/>
        </w:trPr>
        <w:tc>
          <w:tcPr>
            <w:tcW w:w="2880" w:type="dxa"/>
            <w:vAlign w:val="bottom"/>
          </w:tcPr>
          <w:p>
            <w:pPr>
              <w:jc w:val="center"/>
              <w:spacing w:after="0"/>
              <w:rPr>
                <w:sz w:val="20"/>
                <w:szCs w:val="20"/>
                <w:color w:val="auto"/>
              </w:rPr>
            </w:pPr>
            <w:r>
              <w:rPr>
                <w:rFonts w:ascii="Arial" w:cs="Arial" w:eastAsia="Arial" w:hAnsi="Arial"/>
                <w:sz w:val="16"/>
                <w:szCs w:val="16"/>
                <w:color w:val="auto"/>
                <w:w w:val="94"/>
              </w:rPr>
              <w:t>* New peer for fiscal 2022</w:t>
            </w:r>
          </w:p>
        </w:tc>
        <w:tc>
          <w:tcPr>
            <w:tcW w:w="292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Factors Used in Determining Executive Compensation</w:t>
      </w:r>
    </w:p>
    <w:p>
      <w:pPr>
        <w:spacing w:after="0" w:line="24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which may vary from year to year. In making executive compensation decisions, the Compensation Committee generally takes into consideration the following factors:</w:t>
      </w: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189"/>
        </w:trPr>
        <w:tc>
          <w:tcPr>
            <w:tcW w:w="400" w:type="dxa"/>
            <w:vAlign w:val="bottom"/>
            <w:tcBorders>
              <w:top w:val="single" w:sz="8" w:color="auto"/>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Company performance and existing business</w:t>
            </w:r>
          </w:p>
        </w:tc>
        <w:tc>
          <w:tcPr>
            <w:tcW w:w="540" w:type="dxa"/>
            <w:vAlign w:val="bottom"/>
            <w:tcBorders>
              <w:top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Zoom's culture and values</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needs</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188"/>
        </w:trPr>
        <w:tc>
          <w:tcPr>
            <w:tcW w:w="4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Each named executive officer's individual</w:t>
            </w:r>
          </w:p>
        </w:tc>
        <w:tc>
          <w:tcPr>
            <w:tcW w:w="5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Compensation Committee's</w:t>
            </w:r>
          </w:p>
        </w:tc>
      </w:tr>
      <w:tr>
        <w:trPr>
          <w:trHeight w:val="175"/>
        </w:trPr>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performance, scope of job function and</w:t>
            </w:r>
          </w:p>
        </w:tc>
        <w:tc>
          <w:tcPr>
            <w:tcW w:w="540" w:type="dxa"/>
            <w:vAlign w:val="bottom"/>
            <w:shd w:val="clear" w:color="auto" w:fill="CCEEFF"/>
          </w:tcPr>
          <w:p>
            <w:pPr>
              <w:spacing w:after="0"/>
              <w:rPr>
                <w:sz w:val="15"/>
                <w:szCs w:val="15"/>
                <w:color w:val="auto"/>
              </w:rPr>
            </w:pPr>
          </w:p>
        </w:tc>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independent judgment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criticality of the skill set</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202"/>
        </w:trPr>
        <w:tc>
          <w:tcPr>
            <w:tcW w:w="4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The need to attract new talent and retain</w:t>
            </w:r>
          </w:p>
        </w:tc>
        <w:tc>
          <w:tcPr>
            <w:tcW w:w="5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Each named executive officer's current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existing talent in a highly competitive industry</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ownership and total compensation</w:t>
            </w:r>
          </w:p>
        </w:tc>
      </w:tr>
      <w:tr>
        <w:trPr>
          <w:trHeight w:val="202"/>
        </w:trPr>
        <w:tc>
          <w:tcPr>
            <w:tcW w:w="4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Our Chief Executive Officer's</w:t>
            </w:r>
          </w:p>
        </w:tc>
        <w:tc>
          <w:tcPr>
            <w:tcW w:w="5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Aggregate compensation cost and impact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recommendations (other than for himself)</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stockholder dilution</w:t>
            </w:r>
          </w:p>
        </w:tc>
      </w:tr>
      <w:tr>
        <w:trPr>
          <w:trHeight w:val="256"/>
        </w:trPr>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pay equity</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and peer data provided by Aon</w:t>
            </w:r>
          </w:p>
        </w:tc>
      </w:tr>
      <w:tr>
        <w:trPr>
          <w:trHeight w:val="216"/>
        </w:trPr>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Recommendations from our compensation</w:t>
            </w:r>
          </w:p>
        </w:tc>
      </w:tr>
      <w:tr>
        <w:trPr>
          <w:trHeight w:val="237"/>
        </w:trPr>
        <w:tc>
          <w:tcPr>
            <w:tcW w:w="40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consultant</w:t>
            </w:r>
          </w:p>
        </w:tc>
      </w:tr>
      <w:tr>
        <w:trPr>
          <w:trHeight w:val="20"/>
        </w:trPr>
        <w:tc>
          <w:tcPr>
            <w:tcW w:w="40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Executive Compensation Program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annual base salaries of each of our named executive officers for fiscal 2022 are listed below; each base salary was effective for the full fiscal 2022 year.</w:t>
      </w:r>
    </w:p>
    <w:tbl>
      <w:tblPr>
        <w:tblLayout w:type="fixed"/>
        <w:tblInd w:w="212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right"/>
              <w:ind w:right="39"/>
              <w:spacing w:after="0" w:line="171" w:lineRule="exact"/>
              <w:rPr>
                <w:sz w:val="20"/>
                <w:szCs w:val="20"/>
                <w:color w:val="auto"/>
              </w:rPr>
            </w:pPr>
            <w:r>
              <w:rPr>
                <w:rFonts w:ascii="Arial" w:cs="Arial" w:eastAsia="Arial" w:hAnsi="Arial"/>
                <w:sz w:val="16"/>
                <w:szCs w:val="16"/>
                <w:b w:val="1"/>
                <w:bCs w:val="1"/>
                <w:color w:val="auto"/>
              </w:rPr>
              <w:t>Percentage Increase</w:t>
            </w:r>
          </w:p>
        </w:tc>
        <w:tc>
          <w:tcPr>
            <w:tcW w:w="0" w:type="dxa"/>
            <w:vAlign w:val="bottom"/>
          </w:tcPr>
          <w:p>
            <w:pPr>
              <w:spacing w:after="0"/>
              <w:rPr>
                <w:sz w:val="1"/>
                <w:szCs w:val="1"/>
                <w:color w:val="auto"/>
              </w:rPr>
            </w:pPr>
          </w:p>
        </w:tc>
      </w:tr>
      <w:tr>
        <w:trPr>
          <w:trHeight w:val="162"/>
        </w:trPr>
        <w:tc>
          <w:tcPr>
            <w:tcW w:w="370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Executive</w:t>
            </w:r>
          </w:p>
        </w:tc>
        <w:tc>
          <w:tcPr>
            <w:tcW w:w="140" w:type="dxa"/>
            <w:vAlign w:val="bottom"/>
            <w:vMerge w:val="restart"/>
          </w:tcPr>
          <w:p>
            <w:pPr>
              <w:spacing w:after="0"/>
              <w:rPr>
                <w:sz w:val="14"/>
                <w:szCs w:val="14"/>
                <w:color w:val="auto"/>
              </w:rPr>
            </w:pPr>
          </w:p>
        </w:tc>
        <w:tc>
          <w:tcPr>
            <w:tcW w:w="3800" w:type="dxa"/>
            <w:vAlign w:val="bottom"/>
            <w:gridSpan w:val="3"/>
          </w:tcPr>
          <w:p>
            <w:pPr>
              <w:jc w:val="right"/>
              <w:ind w:right="79"/>
              <w:spacing w:after="0" w:line="162" w:lineRule="exact"/>
              <w:rPr>
                <w:sz w:val="20"/>
                <w:szCs w:val="20"/>
                <w:color w:val="auto"/>
              </w:rPr>
            </w:pPr>
            <w:r>
              <w:rPr>
                <w:rFonts w:ascii="Arial" w:cs="Arial" w:eastAsia="Arial" w:hAnsi="Arial"/>
                <w:sz w:val="16"/>
                <w:szCs w:val="16"/>
                <w:b w:val="1"/>
                <w:bCs w:val="1"/>
                <w:color w:val="auto"/>
              </w:rPr>
              <w:t>Fiscal 2022   in Base Salary from January</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0"/>
              </w:rPr>
              <w:t>Base Salary ($)</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w w:val="96"/>
              </w:rPr>
              <w:t>31, 2021 (%)</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Eric S. Yuan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0"/>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Kelly Steckelberg</w:t>
            </w:r>
          </w:p>
        </w:tc>
        <w:tc>
          <w:tcPr>
            <w:tcW w:w="152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9"/>
        </w:trPr>
        <w:tc>
          <w:tcPr>
            <w:tcW w:w="38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Ryan Azus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0"/>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Aparna Bawa</w:t>
            </w:r>
          </w:p>
        </w:tc>
        <w:tc>
          <w:tcPr>
            <w:tcW w:w="152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9"/>
        </w:trPr>
        <w:tc>
          <w:tcPr>
            <w:tcW w:w="38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Janine Pelosi</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Compensation Committee reviewed each of the named executive officer’s base salary against market data and determined that the base salaries of our named executive officers should remain unchanged for fiscal 2022. While base salaries (and total target cash) of our named executive officers generally fell below the median of market data provided by Aon, the Compensation Committee determined that each executive officer held a meaningful amount of unvested equity incentive opportunities and accordingly, total compensation levels remained appropriate for incentive and retention purposes for fiscal 2022. Mr. Yuan’s base salary, in particular, fell significantly below market data but remained unchanged at the request of Mr. Yuan.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Incentive</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Our Officer Incentive Plan (the “Officer Incentive Plan”) applies to certain key executives, including all of our named executive officers. Mr. Azus partially participates in our sales compensation plan, the details of which are discussed more fully under “Sales Compensation Plan” below. The Officer Incentive Plan provides for the opportunity to earn cash incentive payments based upon the attainment of certain corporate, financial, or operational measures or objectives appropriate for the fiscal year. Each participant has a target annual performance incentive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18"/>
          <w:szCs w:val="18"/>
          <w:color w:val="auto"/>
        </w:rPr>
        <w:t>opportunity that corresponds to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2022 Target Amounts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For fiscal 2022, each of our named executive officers who participated in the Officer Incentive Plan other than Mr. Azus was eligible to receive an incentive at an annual target of 8% of base salary. The target percentages applicable to such named executive officers for fiscal 2022 were unchanged from fiscal 2021 for consistency with the incentive opportunities we offer to non-commissioned employees across our organization. For the second half of fiscal 2022, Mr. Azus was eligible to receive a pro-rated incentive at an annual target of 37.5% of base salary, as further described under “Sales Compensation Plan”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2022 Performance Goals and Achievement</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Compensation Committee established net MRR and non-GAAP income from operations as the corporate performance goals applicable to the fiscal 2022 plan year. The Compensation Committee chose these metrics because they align with the primary drivers of revenue growth and orientation of the Company and our sales compensation plan. Net MRR is an indicator of our future long-term revenue growth and non-GAAP income from operations is an important indicator of our ability to effectively manage operating expenses given our revenue growth. We believe non-GAAP income from operations, as a supplement to GAAP financial measures, is useful to investors in evaluating our ongoing operational performance and enhancing an overall understanding of our past financial performance and allows for greater transparency with respect to metrics used by our management in its financial and operational decision-making.</w:t>
      </w:r>
    </w:p>
    <w:p>
      <w:pPr>
        <w:spacing w:after="0" w:line="21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color w:val="auto"/>
        </w:rPr>
        <w:t>Each of the annual corporate performance goals, their relative weightings and payout methodology are summarized in the chart below. The incentive payout each participant could receive under the Officer Incentive Plan was capped at 200% of such participant's target incentive.</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Actual</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Payout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22"/>
        </w:trPr>
        <w:tc>
          <w:tcPr>
            <w:tcW w:w="140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Performance</w:t>
            </w:r>
          </w:p>
        </w:tc>
        <w:tc>
          <w:tcPr>
            <w:tcW w:w="270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Payout Formula</w:t>
            </w:r>
            <w:r>
              <w:rPr>
                <w:rFonts w:ascii="Arial" w:cs="Arial" w:eastAsia="Arial" w:hAnsi="Arial"/>
                <w:sz w:val="21"/>
                <w:szCs w:val="21"/>
                <w:b w:val="1"/>
                <w:bCs w:val="1"/>
                <w:color w:val="auto"/>
                <w:vertAlign w:val="superscript"/>
              </w:rPr>
              <w:t>(3)</w:t>
            </w:r>
          </w:p>
        </w:tc>
        <w:tc>
          <w:tcPr>
            <w:tcW w:w="120" w:type="dxa"/>
            <w:vAlign w:val="bottom"/>
            <w:vMerge w:val="restart"/>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Weight</w:t>
            </w:r>
          </w:p>
        </w:tc>
        <w:tc>
          <w:tcPr>
            <w:tcW w:w="120" w:type="dxa"/>
            <w:vAlign w:val="bottom"/>
            <w:vMerge w:val="restart"/>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Goal</w:t>
            </w:r>
          </w:p>
        </w:tc>
        <w:tc>
          <w:tcPr>
            <w:tcW w:w="12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Achievement</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Percentage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66"/>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Net MRR</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28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Less than threshold achievement</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2"/>
        </w:trPr>
        <w:tc>
          <w:tcPr>
            <w:tcW w:w="1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20" w:type="dxa"/>
            <w:vAlign w:val="bottom"/>
            <w:gridSpan w:val="2"/>
            <w:vMerge w:val="continue"/>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(70% of target): no payout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Target achievement (100% of</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target): 100% payout 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Maximum achievement (150% or</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greater of target): 200% payout</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400" w:type="dxa"/>
            <w:vAlign w:val="bottom"/>
            <w:gridSpan w:val="2"/>
          </w:tcPr>
          <w:p>
            <w:pPr>
              <w:spacing w:after="0" w:line="175" w:lineRule="exact"/>
              <w:rPr>
                <w:sz w:val="20"/>
                <w:szCs w:val="20"/>
                <w:color w:val="auto"/>
              </w:rPr>
            </w:pPr>
            <w:r>
              <w:rPr>
                <w:rFonts w:ascii="Arial" w:cs="Arial" w:eastAsia="Arial" w:hAnsi="Arial"/>
                <w:sz w:val="16"/>
                <w:szCs w:val="16"/>
                <w:color w:val="auto"/>
              </w:rPr>
              <w:t>Non-GAAP</w:t>
            </w:r>
          </w:p>
        </w:tc>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Less than threshold achievement</w:t>
            </w:r>
          </w:p>
        </w:tc>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7"/>
              </w:rPr>
              <w:t>30%</w:t>
            </w:r>
          </w:p>
        </w:tc>
        <w:tc>
          <w:tcPr>
            <w:tcW w:w="120" w:type="dxa"/>
            <w:vAlign w:val="bottom"/>
          </w:tcPr>
          <w:p>
            <w:pPr>
              <w:spacing w:after="0"/>
              <w:rPr>
                <w:sz w:val="15"/>
                <w:szCs w:val="15"/>
                <w:color w:val="auto"/>
              </w:rPr>
            </w:pPr>
          </w:p>
        </w:tc>
        <w:tc>
          <w:tcPr>
            <w:tcW w:w="1340" w:type="dxa"/>
            <w:vAlign w:val="bottom"/>
          </w:tcPr>
          <w:p>
            <w:pPr>
              <w:jc w:val="right"/>
              <w:ind w:right="399"/>
              <w:spacing w:after="0" w:line="175" w:lineRule="exact"/>
              <w:rPr>
                <w:sz w:val="20"/>
                <w:szCs w:val="20"/>
                <w:color w:val="auto"/>
              </w:rPr>
            </w:pPr>
            <w:r>
              <w:rPr>
                <w:rFonts w:ascii="Arial" w:cs="Arial" w:eastAsia="Arial" w:hAnsi="Arial"/>
                <w:sz w:val="16"/>
                <w:szCs w:val="16"/>
                <w:color w:val="auto"/>
              </w:rPr>
              <w:t>123%</w:t>
            </w:r>
          </w:p>
        </w:tc>
        <w:tc>
          <w:tcPr>
            <w:tcW w:w="120" w:type="dxa"/>
            <w:vAlign w:val="bottom"/>
          </w:tcPr>
          <w:p>
            <w:pPr>
              <w:spacing w:after="0"/>
              <w:rPr>
                <w:sz w:val="15"/>
                <w:szCs w:val="15"/>
                <w:color w:val="auto"/>
              </w:rPr>
            </w:pPr>
          </w:p>
        </w:tc>
        <w:tc>
          <w:tcPr>
            <w:tcW w:w="980" w:type="dxa"/>
            <w:vAlign w:val="bottom"/>
          </w:tcPr>
          <w:p>
            <w:pPr>
              <w:jc w:val="right"/>
              <w:ind w:right="219"/>
              <w:spacing w:after="0" w:line="175" w:lineRule="exact"/>
              <w:rPr>
                <w:sz w:val="20"/>
                <w:szCs w:val="20"/>
                <w:color w:val="auto"/>
              </w:rPr>
            </w:pPr>
            <w:r>
              <w:rPr>
                <w:rFonts w:ascii="Arial" w:cs="Arial" w:eastAsia="Arial" w:hAnsi="Arial"/>
                <w:sz w:val="16"/>
                <w:szCs w:val="16"/>
                <w:color w:val="auto"/>
              </w:rPr>
              <w:t>177%</w:t>
            </w:r>
          </w:p>
        </w:tc>
        <w:tc>
          <w:tcPr>
            <w:tcW w:w="120" w:type="dxa"/>
            <w:vAlign w:val="bottom"/>
          </w:tcPr>
          <w:p>
            <w:pPr>
              <w:spacing w:after="0"/>
              <w:rPr>
                <w:sz w:val="15"/>
                <w:szCs w:val="15"/>
                <w:color w:val="auto"/>
              </w:rPr>
            </w:pPr>
          </w:p>
        </w:tc>
        <w:tc>
          <w:tcPr>
            <w:tcW w:w="920" w:type="dxa"/>
            <w:vAlign w:val="bottom"/>
          </w:tcPr>
          <w:p>
            <w:pPr>
              <w:jc w:val="right"/>
              <w:ind w:right="181"/>
              <w:spacing w:after="0" w:line="175" w:lineRule="exact"/>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08"/>
        </w:trPr>
        <w:tc>
          <w:tcPr>
            <w:tcW w:w="1400" w:type="dxa"/>
            <w:vAlign w:val="bottom"/>
            <w:gridSpan w:val="2"/>
          </w:tcPr>
          <w:p>
            <w:pPr>
              <w:spacing w:after="0" w:line="108" w:lineRule="exact"/>
              <w:rPr>
                <w:sz w:val="20"/>
                <w:szCs w:val="20"/>
                <w:color w:val="auto"/>
              </w:rPr>
            </w:pPr>
            <w:r>
              <w:rPr>
                <w:rFonts w:ascii="Arial" w:cs="Arial" w:eastAsia="Arial" w:hAnsi="Arial"/>
                <w:sz w:val="12"/>
                <w:szCs w:val="12"/>
                <w:color w:val="auto"/>
              </w:rPr>
              <w:t>Income from</w:t>
            </w:r>
          </w:p>
        </w:tc>
        <w:tc>
          <w:tcPr>
            <w:tcW w:w="28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400" w:type="dxa"/>
            <w:vAlign w:val="bottom"/>
            <w:gridSpan w:val="2"/>
          </w:tcPr>
          <w:p>
            <w:pPr>
              <w:spacing w:after="0" w:line="189" w:lineRule="exact"/>
              <w:rPr>
                <w:sz w:val="20"/>
                <w:szCs w:val="20"/>
                <w:color w:val="auto"/>
              </w:rPr>
            </w:pPr>
            <w:r>
              <w:rPr>
                <w:rFonts w:ascii="Arial" w:cs="Arial" w:eastAsia="Arial" w:hAnsi="Arial"/>
                <w:sz w:val="16"/>
                <w:szCs w:val="16"/>
                <w:color w:val="auto"/>
              </w:rPr>
              <w:t>Operations</w:t>
            </w:r>
            <w:r>
              <w:rPr>
                <w:rFonts w:ascii="Arial" w:cs="Arial" w:eastAsia="Arial" w:hAnsi="Arial"/>
                <w:sz w:val="21"/>
                <w:szCs w:val="21"/>
                <w:color w:val="auto"/>
                <w:vertAlign w:val="superscript"/>
              </w:rPr>
              <w:t>(2)</w:t>
            </w:r>
          </w:p>
        </w:tc>
        <w:tc>
          <w:tcPr>
            <w:tcW w:w="2820" w:type="dxa"/>
            <w:vAlign w:val="bottom"/>
            <w:gridSpan w:val="2"/>
            <w:vMerge w:val="restart"/>
          </w:tcPr>
          <w:p>
            <w:pPr>
              <w:ind w:left="360"/>
              <w:spacing w:after="0"/>
              <w:rPr>
                <w:sz w:val="20"/>
                <w:szCs w:val="20"/>
                <w:color w:val="auto"/>
              </w:rPr>
            </w:pPr>
            <w:r>
              <w:rPr>
                <w:rFonts w:ascii="Arial" w:cs="Arial" w:eastAsia="Arial" w:hAnsi="Arial"/>
                <w:sz w:val="16"/>
                <w:szCs w:val="16"/>
                <w:color w:val="auto"/>
              </w:rPr>
              <w:t>($942.0 million): no payout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060" w:right="6180" w:hanging="334"/>
        <w:spacing w:after="0" w:line="310" w:lineRule="auto"/>
        <w:tabs>
          <w:tab w:leader="none" w:pos="304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Target achievement ($1,345.7 million): 100% payout funding</w:t>
      </w:r>
    </w:p>
    <w:p>
      <w:pPr>
        <w:spacing w:after="0" w:line="40" w:lineRule="exact"/>
        <w:rPr>
          <w:rFonts w:ascii="Arial" w:cs="Arial" w:eastAsia="Arial" w:hAnsi="Arial"/>
          <w:sz w:val="15"/>
          <w:szCs w:val="15"/>
          <w:color w:val="auto"/>
        </w:rPr>
      </w:pPr>
    </w:p>
    <w:p>
      <w:pPr>
        <w:ind w:left="3060" w:right="6000" w:hanging="334"/>
        <w:spacing w:after="0" w:line="258" w:lineRule="auto"/>
        <w:tabs>
          <w:tab w:leader="none" w:pos="30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Maximum achievement ($1,749.4 million or above): 200% payout funding</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9"/>
        </w:trPr>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5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55.1%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jc w:val="both"/>
        <w:ind w:firstLine="8"/>
        <w:spacing w:after="0" w:line="251" w:lineRule="auto"/>
        <w:tabs>
          <w:tab w:leader="none" w:pos="230"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Net MRR is a financial measure that we define as the recurring revenue run-rate of subscription agreements from all customers for the last month of the period, including revenue from monthly subscribers who have not provided any indication that they intend to cancel their subscriptions. Our Net MRR target and actual Net MRR result is an internal measure that we do not disclose for several reasons, including our belief that disclosure would result in competitive harm. If the results were disclosed, we believe the information would provide competitors with insights into our operations and sales programs that would be harmful to us. The Compensation Committee set our Net MRR target in early fiscal 2022 at the amount it felt would require significant effort to achieve given our expectations for fiscal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2" w:name="page43"/>
    <w:bookmarkEnd w:id="42"/>
    <w:p>
      <w:pPr>
        <w:spacing w:after="0" w:line="216" w:lineRule="exact"/>
        <w:rPr>
          <w:sz w:val="20"/>
          <w:szCs w:val="20"/>
          <w:color w:val="auto"/>
        </w:rPr>
      </w:pPr>
    </w:p>
    <w:p>
      <w:pPr>
        <w:jc w:val="both"/>
        <w:ind w:firstLine="8"/>
        <w:spacing w:after="0" w:line="263" w:lineRule="auto"/>
        <w:tabs>
          <w:tab w:leader="none" w:pos="23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Non-GAAP Income from Operations is a non-GAAP financial measure, which represents the GAAP income (loss) from operations, excluding stock-based compensation expense and related payroll taxes, expenses related to charitable donation of common stock and acquisition-related expenses. We exclude stock-based compensation expense and expenses related to charitable donation of common stock because they are non-cash in nature and excluding these expenses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4" w:lineRule="exact"/>
        <w:rPr>
          <w:rFonts w:ascii="Arial" w:cs="Arial" w:eastAsia="Arial" w:hAnsi="Arial"/>
          <w:sz w:val="14"/>
          <w:szCs w:val="14"/>
          <w:color w:val="auto"/>
        </w:rPr>
      </w:pPr>
    </w:p>
    <w:p>
      <w:pPr>
        <w:jc w:val="both"/>
        <w:ind w:firstLine="8"/>
        <w:spacing w:after="0" w:line="234" w:lineRule="auto"/>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Payout funding for achievement between threshold, target and maximum achievement levels was determined under the following payout scale: for achievement levels between threshold and target, 20% payout funding would occur for each 6% of achievement above threshold; for achievement levels between target and maximum, the 100% target payout funding would be increased by 20% payout funding for each 6% (10% in the case of non-GAAP Income from Operations) of achievement above target; in each case with linear interpolation between such levels.</w:t>
      </w: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Compensation Committee assessed the corporate performance goal achievement following the end of fiscal 2022. Payouts under the Officer Incentive Plan occurred based solely on our performance relative to the corporate performance goals and our payout methodology described above. As a result, each named executive officer participant received the following aggregate incentive payment under the Officer Incentive Plan for fiscal 2022.</w:t>
      </w:r>
    </w:p>
    <w:tbl>
      <w:tblPr>
        <w:tblLayout w:type="fixed"/>
        <w:tblInd w:w="3080" w:type="dxa"/>
        <w:tblCellMar>
          <w:top w:w="0" w:type="dxa"/>
          <w:left w:w="0" w:type="dxa"/>
          <w:bottom w:w="0" w:type="dxa"/>
          <w:right w:w="0" w:type="dxa"/>
        </w:tblCellMar>
      </w:tblPr>
      <w:tr>
        <w:trPr>
          <w:trHeight w:val="164"/>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line="165" w:lineRule="exact"/>
              <w:rPr>
                <w:sz w:val="20"/>
                <w:szCs w:val="20"/>
                <w:color w:val="auto"/>
              </w:rPr>
            </w:pPr>
            <w:r>
              <w:rPr>
                <w:rFonts w:ascii="Arial" w:cs="Arial" w:eastAsia="Arial" w:hAnsi="Arial"/>
                <w:sz w:val="16"/>
                <w:szCs w:val="16"/>
                <w:b w:val="1"/>
                <w:bCs w:val="1"/>
                <w:color w:val="auto"/>
                <w:w w:val="93"/>
              </w:rPr>
              <w:t>Incentive Amount</w:t>
            </w:r>
          </w:p>
        </w:tc>
        <w:tc>
          <w:tcPr>
            <w:tcW w:w="13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1"/>
              </w:rPr>
              <w:t>Percent of Target</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Paid ($)</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Incentive (%)</w:t>
            </w:r>
          </w:p>
        </w:tc>
        <w:tc>
          <w:tcPr>
            <w:tcW w:w="0" w:type="dxa"/>
            <w:vAlign w:val="bottom"/>
          </w:tcPr>
          <w:p>
            <w:pPr>
              <w:spacing w:after="0"/>
              <w:rPr>
                <w:sz w:val="1"/>
                <w:szCs w:val="1"/>
                <w:color w:val="auto"/>
              </w:rPr>
            </w:pPr>
          </w:p>
        </w:tc>
      </w:tr>
      <w:tr>
        <w:trPr>
          <w:trHeight w:val="22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13,224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r>
        <w:trPr>
          <w:trHeight w:val="220"/>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16,530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r>
        <w:trPr>
          <w:trHeight w:val="23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44,268</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r>
        <w:trPr>
          <w:trHeight w:val="220"/>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17,632</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r>
        <w:trPr>
          <w:trHeight w:val="23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16,530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Compensation Plan</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As Mr. Azus’ role and responsibilities are focused on our sales and revenue, Mr. Azus’ cash performance incentive opportunities have historically been provided solely through participation in our Sales Compensation Plan (the “Sales Compensation Plan”) with an annual target incentive of 100% of his base salary. In reviewing and developing our cash performance incentives and executive compensation programs for fiscal 2022, the Compensation Committee determined that, as an executive officer and in light of market data for comparable positions, it was appropriate to transition Mr. Azus’ cash performance incentive structure to reflect the same amount and form of performance incentive opportunity as our other named executive officers under our Officer Incentive Plan described above. Accordingly, in early fiscal 2022, the Compensation Committee approved a transition plan for Mr. Azus to reduce both the amount of his total annual incentive target and the proportion of such incentive that is based on the Sales Compensation Plan, so that by the second half of fiscal 2024, Mr. Azus would solely participate in the Officer Incentive Plan at the same annual incentive target amount as our other named executive officers. Accordingly, Mr. Azus continued to participate solely in the Sales Compensation Plan at his current annual target incentive of 100% of base salary, pro-rated for the first six months of fiscal 2022. For the second six months of fiscal 2022, Mr. Azus’s total annual target incentive was reduced to 75% of base salary (pro-rated to 37.5%) and bifurcated so that 50% of such target opportunity was based on the Sales Compensation Plan and 50% of such target opportunity was based on the Officer Incentive Plan.</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the terms of the Sales Compensation Plan, Mr. Azus was eligible for commission-based payments upon the attainment of pre-determined net MRR targets and quality of bookings. Mr. Azus’ annual target incentive under the Sales Compensation Plan for fiscal 2022 was 100% of his base salary for the first six months of Fiscal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7"/>
          <w:szCs w:val="17"/>
          <w:color w:val="auto"/>
        </w:rPr>
        <w:t>2022 and 37.5% of his base salary for the second six months of fiscal 2022, which represented $106,250 and $39,843, respectively on a quarterly basis. Mr. Azus could earn a portion of his applicable quarterly target incentive based on the extent to which he met his quarterly net MRR target, with such achievement subject to a multiplier starting at 100%, for achievement in excess of the quarterly net MRR target, up to achievement of 400% of target, plus an amount up to 20% of his incentive target per quarter if he achieved 54% or more of the net MRR target in the second month of a quarter (and provided the quarterly net MRR target was achieved as of the end of the quarter). Mr. Azus could earn additional incentive amounts dependent on the value received for booking long-term sales contracts, taking into account the duration, payment terms and products included.</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Under the Sales Compensation Plan, performance achievement and incentive payouts were assessed and determined monthly by reference to the quarterly targets. We are not disclosing target and achievement levels for the net MRR and quality of bookings metrics, because such figures represent confidential information the disclosure of which would result in competitive harm. Such targets were set at levels requiring substantial effort to achieve and represented a significant increase from fiscal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fiscal 2022, Mr. Azus earned aggregate payments of $370,952 under the Sales Compensation Plan.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Awards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Since our initial public offering, we have granted equity compensation to our executive officers primarily in the form of RSU awards. The Compensation Committee regularly reviews market trends regarding equity compensation structures in connection with making executive compensation decisions and has considered the use of performance-vesting equity awards. For fiscal 2022, the Compensation Committee determined that RSUs continued to be the most appropriate incentive structure for our executive officers at this time to deliver meaningful incentives over the long-term. The Compensation Committee believes that RSU awards align our named executive officers’ interests with those of our stockholders by providing a return directly in line with our stock price and, unlike awards that vest based on pre-determined operational or financial goals, minimize incentive for short-term risk-taking at the expense of realizing long-term value. RSU awards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general policy is to grant equity awards on fixed dates determined in advance, although there may be occasions when grants are made on other dates, such as new hires or other special circumstances. All required approvals are obtained in advance of or on the actual grant date. The timing of equity award grants to our executive officers is not coordinated in a manner that intentionally benefits our executive officers.</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did not grant equity awards to any of our named executive officers during fiscal 2022 because our Compensation Committee determined our named executive officers’ then-current equity ownership (including the extent, and value, of vested equity holdings and unvested equity opportunities) continued to be appropriate for incentive and retention purposes for fiscal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Preview of Equity Awards Granted in Fiscal 2023</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2022, the Compensation Committee determined it was appropriate to grant RSU awards to our executive officers to serve incentive and retention purposes for fiscal 2023 and future years. The RSUs granted to each of our named executive officers in April 2022 are reflected in the table below and were determined after taking into consideration each named executive officer’s then-current compensation opportunities and equity ownership (including the extent, and value, of vested equity holdings and unvested equity opportunities), market data, company and individual performance and retention considerations. Additional detail about the RSU awards will be disclosed in the Compensation Discussion and Analysis section of our proxy statement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44" w:name="page45"/>
    <w:bookmarkEnd w:id="44"/>
    <w:p>
      <w:pPr>
        <w:spacing w:after="0" w:line="23" w:lineRule="exact"/>
        <w:rPr>
          <w:sz w:val="20"/>
          <w:szCs w:val="20"/>
          <w:color w:val="auto"/>
        </w:rPr>
      </w:pPr>
    </w:p>
    <w:tbl>
      <w:tblPr>
        <w:tblLayout w:type="fixed"/>
        <w:tblInd w:w="2200" w:type="dxa"/>
        <w:tblCellMar>
          <w:top w:w="0" w:type="dxa"/>
          <w:left w:w="0" w:type="dxa"/>
          <w:bottom w:w="0" w:type="dxa"/>
          <w:right w:w="0" w:type="dxa"/>
        </w:tblCellMar>
      </w:tblPr>
      <w:tr>
        <w:trPr>
          <w:trHeight w:val="22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Executive</w:t>
            </w:r>
          </w:p>
        </w:tc>
        <w:tc>
          <w:tcPr>
            <w:tcW w:w="120" w:type="dxa"/>
            <w:vAlign w:val="bottom"/>
            <w:tcBorders>
              <w:bottom w:val="single" w:sz="8" w:color="CCEEFF"/>
            </w:tcBorders>
          </w:tcPr>
          <w:p>
            <w:pPr>
              <w:spacing w:after="0"/>
              <w:rPr>
                <w:sz w:val="19"/>
                <w:szCs w:val="19"/>
                <w:color w:val="auto"/>
              </w:rPr>
            </w:pP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RSU Award (# shares)</w:t>
            </w:r>
          </w:p>
        </w:tc>
      </w:tr>
      <w:tr>
        <w:trPr>
          <w:trHeight w:val="22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3060" w:type="dxa"/>
            <w:vAlign w:val="bottom"/>
            <w:shd w:val="clear" w:color="auto" w:fill="CCEEFF"/>
          </w:tcPr>
          <w:p>
            <w:pPr>
              <w:jc w:val="right"/>
              <w:spacing w:after="0" w:line="226" w:lineRule="exact"/>
              <w:rPr>
                <w:sz w:val="20"/>
                <w:szCs w:val="20"/>
                <w:color w:val="auto"/>
              </w:rPr>
            </w:pPr>
            <w:r>
              <w:rPr>
                <w:rFonts w:ascii="Arial" w:cs="Arial" w:eastAsia="Arial" w:hAnsi="Arial"/>
                <w:sz w:val="16"/>
                <w:szCs w:val="16"/>
                <w:color w:val="auto"/>
              </w:rPr>
              <w:t>8,420</w:t>
            </w:r>
            <w:r>
              <w:rPr>
                <w:rFonts w:ascii="Arial" w:cs="Arial" w:eastAsia="Arial" w:hAnsi="Arial"/>
                <w:sz w:val="21"/>
                <w:szCs w:val="21"/>
                <w:color w:val="auto"/>
                <w:vertAlign w:val="superscript"/>
              </w:rPr>
              <w:t>(1)</w:t>
            </w: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3060" w:type="dxa"/>
            <w:vAlign w:val="bottom"/>
          </w:tcPr>
          <w:p>
            <w:pPr>
              <w:jc w:val="right"/>
              <w:spacing w:after="0" w:line="230" w:lineRule="exact"/>
              <w:rPr>
                <w:sz w:val="20"/>
                <w:szCs w:val="20"/>
                <w:color w:val="auto"/>
              </w:rPr>
            </w:pPr>
            <w:r>
              <w:rPr>
                <w:rFonts w:ascii="Arial" w:cs="Arial" w:eastAsia="Arial" w:hAnsi="Arial"/>
                <w:sz w:val="16"/>
                <w:szCs w:val="16"/>
                <w:color w:val="auto"/>
              </w:rPr>
              <w:t>6,454</w:t>
            </w:r>
            <w:r>
              <w:rPr>
                <w:rFonts w:ascii="Arial" w:cs="Arial" w:eastAsia="Arial" w:hAnsi="Arial"/>
                <w:sz w:val="21"/>
                <w:szCs w:val="21"/>
                <w:color w:val="auto"/>
                <w:vertAlign w:val="superscript"/>
              </w:rPr>
              <w:t>(2)</w:t>
            </w: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306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auto"/>
              </w:rPr>
              <w:t>6,454</w:t>
            </w:r>
            <w:r>
              <w:rPr>
                <w:rFonts w:ascii="Arial" w:cs="Arial" w:eastAsia="Arial" w:hAnsi="Arial"/>
                <w:sz w:val="21"/>
                <w:szCs w:val="21"/>
                <w:color w:val="auto"/>
                <w:vertAlign w:val="superscript"/>
              </w:rPr>
              <w:t>(2)</w:t>
            </w: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3060" w:type="dxa"/>
            <w:vAlign w:val="bottom"/>
          </w:tcPr>
          <w:p>
            <w:pPr>
              <w:jc w:val="right"/>
              <w:spacing w:after="0" w:line="230" w:lineRule="exact"/>
              <w:rPr>
                <w:sz w:val="20"/>
                <w:szCs w:val="20"/>
                <w:color w:val="auto"/>
              </w:rPr>
            </w:pPr>
            <w:r>
              <w:rPr>
                <w:rFonts w:ascii="Arial" w:cs="Arial" w:eastAsia="Arial" w:hAnsi="Arial"/>
                <w:sz w:val="16"/>
                <w:szCs w:val="16"/>
                <w:color w:val="auto"/>
              </w:rPr>
              <w:t>42,207</w:t>
            </w:r>
            <w:r>
              <w:rPr>
                <w:rFonts w:ascii="Arial" w:cs="Arial" w:eastAsia="Arial" w:hAnsi="Arial"/>
                <w:sz w:val="21"/>
                <w:szCs w:val="21"/>
                <w:color w:val="auto"/>
                <w:vertAlign w:val="superscript"/>
              </w:rPr>
              <w:t>(3)</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306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auto"/>
              </w:rPr>
              <w:t>6,454</w:t>
            </w:r>
            <w:r>
              <w:rPr>
                <w:rFonts w:ascii="Arial" w:cs="Arial" w:eastAsia="Arial" w:hAnsi="Arial"/>
                <w:sz w:val="21"/>
                <w:szCs w:val="21"/>
                <w:color w:val="auto"/>
                <w:vertAlign w:val="superscript"/>
              </w:rPr>
              <w:t>(2)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ind w:left="240" w:hanging="232"/>
        <w:spacing w:after="0" w:line="229" w:lineRule="auto"/>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RSUs will vest on April 8, 2023, subject to continued service.</w:t>
      </w:r>
    </w:p>
    <w:p>
      <w:pPr>
        <w:ind w:left="240" w:hanging="232"/>
        <w:spacing w:after="0" w:line="228" w:lineRule="auto"/>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139 RSUs will vest on June 8, 2022 and the remaining 6,315 RSUs will vest on April 8, 2023, subject to continued service.</w:t>
      </w:r>
    </w:p>
    <w:p>
      <w:pPr>
        <w:ind w:right="360" w:firstLine="8"/>
        <w:spacing w:after="0" w:line="239" w:lineRule="auto"/>
        <w:tabs>
          <w:tab w:leader="none" w:pos="2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139 RSUs will vest on June 8, 2022, 6,315 RSUs will vest on April 8, 2023 and 35,753 RSUs vest quarterly over two years measured from the grant date, subject to continued service.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 of Our Executive Compensation Program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Offer Letters</w:t>
      </w:r>
    </w:p>
    <w:p>
      <w:pPr>
        <w:spacing w:after="0" w:line="23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We maintain employee offer letters with each of our named executive officers that set forth the initial terms and conditions of their employment, including position, base salary and severance benefits described below. The terms of each of our named executive officers’ incentive opportunities are governed by our Officer Incentive Plan and our Sales Compensation Plan described above. Each of our named executive officers is an at-will employee.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Each of our named executive officers is eligible for severance benefits pursuant to their employee offer letters with us described above, which provide for a severance payment equal to six months of base salary, accelerated vesting of all outstanding equity awards and payment of up to six months of COBRA premiums upon the officer’s involuntary termination within the 12 months following a change in control (as defined in the applicable offer letter). An involuntary termination for purposes of the severance benefits generally means a termination by us other than for death, disability or cause (as defined in the applicable offer letter) or a resignation for good reason (as defined in the applicable offer letter).</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Compensation Committee believes these “double-trigger” severance benefits are important from a retention perspective to provide some level of protection to our executives who might be terminated following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Such payments protect the interests of our stockholders by enhancing executive focus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 ESPP, Welfare and Health Benefits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have the ability to make discretionary matching and discretionary employer contributions to the 401(k) plan. For fiscal 2022, we did not make discretionary matching contributions or discretionary employer contributions to the 401(k) plan. In January 2022, we approved a discretionary matching contribution to the 401(k) plan, to be effective no earlier than July 1, 2022, pursuant to which we will make (i) a discretionary matching employer contribution equal to 50% of each participant’s deferral contributions to the extent such contributions do not exceed 3% of the participant’s 401(k) plan compensation on a payroll by payroll basis and (ii) a true-up discretionary matching contribution at the end of the plan year in the same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18"/>
          <w:szCs w:val="18"/>
          <w:color w:val="auto"/>
        </w:rPr>
        <w:t>amount for participants employed on the last day of the plan year of the 401(k) plan.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that year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 To address safety concerns resulting from Mr. Yuan’s position as our founder and CEO, we pay for costs related to the personal security for Mr. Yuan at his residence, including the cost of a security assessment. We require these security measures because of the importance of Mr. Yuan to our Company and we believe that these security costs are reasonable and necessary and for the Company’s benefit.</w:t>
      </w:r>
    </w:p>
    <w:p>
      <w:pPr>
        <w:spacing w:after="0" w:line="20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During fiscal 2022, our U.S. employees, including our named executive officers, did not contribute to, or earn any amounts with respect to, any defined contribution or other plan sponsored by us that provides for the deferral of compensation on a basis that is not tax-qualified.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46" w:name="page47"/>
    <w:bookmarkEnd w:id="46"/>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voluntarily adopted an incentive compensation recoupment, or “clawback,” policy that became effective in connection with our initial public offering in 2019, ahead of final guidance by the SEC regarding the clawback rules that will be required under the Dodd-Frank Wall Street Reform and Consumer Protection Act. Under our clawback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Compensation Committee has reviewed our compensation policies and practices, in consultation with Aon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28"/>
          <w:szCs w:val="28"/>
          <w:b w:val="1"/>
          <w:bCs w:val="1"/>
          <w:color w:val="auto"/>
          <w:vertAlign w:val="superscript"/>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Dan Scheinman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Santiago Subotovsky</w:t>
      </w:r>
    </w:p>
    <w:p>
      <w:pPr>
        <w:spacing w:after="0" w:line="242" w:lineRule="exact"/>
        <w:rPr>
          <w:sz w:val="20"/>
          <w:szCs w:val="20"/>
          <w:color w:val="auto"/>
        </w:rPr>
      </w:pPr>
    </w:p>
    <w:p>
      <w:pPr>
        <w:ind w:right="260"/>
        <w:spacing w:after="0" w:line="230"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The material in this report is not “soliciting material,” is furnished to, but not deemed “filed” with, the Commission and is not deemed to be incorporated by reference in any of our filings under the Securities Act or the Exchange Act, other than our Annual Report on Form 10-K, where it shall be deemed to be “furnished,” whether made before or after the date hereof and irrespective of any general incorporation language in any such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2022, 2021, and 2020.</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Name and</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Non-Equity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4"/>
                <w:szCs w:val="14"/>
                <w:color w:val="auto"/>
              </w:rPr>
            </w:pPr>
          </w:p>
        </w:tc>
        <w:tc>
          <w:tcPr>
            <w:tcW w:w="5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Salary</w:t>
            </w:r>
          </w:p>
        </w:tc>
        <w:tc>
          <w:tcPr>
            <w:tcW w:w="8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Bonus</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7"/>
              </w:rPr>
              <w:t>All Other</w:t>
            </w:r>
          </w:p>
        </w:tc>
        <w:tc>
          <w:tcPr>
            <w:tcW w:w="9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Position</w:t>
            </w: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(1)</w:t>
            </w:r>
          </w:p>
        </w:tc>
        <w:tc>
          <w:tcPr>
            <w:tcW w:w="200" w:type="dxa"/>
            <w:vAlign w:val="bottom"/>
          </w:tcPr>
          <w:p>
            <w:pPr>
              <w:spacing w:after="0"/>
              <w:rPr>
                <w:sz w:val="14"/>
                <w:szCs w:val="14"/>
                <w:color w:val="auto"/>
              </w:rPr>
            </w:pPr>
          </w:p>
        </w:tc>
        <w:tc>
          <w:tcPr>
            <w:tcW w:w="1400" w:type="dxa"/>
            <w:vAlign w:val="bottom"/>
            <w:gridSpan w:val="2"/>
          </w:tcPr>
          <w:p>
            <w:pPr>
              <w:jc w:val="center"/>
              <w:ind w:right="120"/>
              <w:spacing w:after="0" w:line="16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(2)</w:t>
            </w: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Compensation</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2022</w:t>
            </w:r>
          </w:p>
        </w:tc>
        <w:tc>
          <w:tcPr>
            <w:tcW w:w="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$301,731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$13,224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0" w:lineRule="exact"/>
              <w:rPr>
                <w:sz w:val="20"/>
                <w:szCs w:val="20"/>
                <w:color w:val="auto"/>
              </w:rPr>
            </w:pPr>
            <w:r>
              <w:rPr>
                <w:rFonts w:ascii="Arial" w:cs="Arial" w:eastAsia="Arial" w:hAnsi="Arial"/>
                <w:sz w:val="16"/>
                <w:szCs w:val="16"/>
                <w:color w:val="auto"/>
                <w:w w:val="85"/>
              </w:rPr>
              <w:t>$800,134</w:t>
            </w:r>
            <w:r>
              <w:rPr>
                <w:rFonts w:ascii="Arial" w:cs="Arial" w:eastAsia="Arial" w:hAnsi="Arial"/>
                <w:sz w:val="21"/>
                <w:szCs w:val="21"/>
                <w:color w:val="auto"/>
                <w:w w:val="85"/>
                <w:vertAlign w:val="superscript"/>
              </w:rPr>
              <w:t>(3)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$1,115,089</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President and</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$300,000</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$42,000</w:t>
            </w: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5"/>
              </w:rPr>
              <w:t>$607,748</w:t>
            </w:r>
            <w:r>
              <w:rPr>
                <w:rFonts w:ascii="Arial" w:cs="Arial" w:eastAsia="Arial" w:hAnsi="Arial"/>
                <w:sz w:val="21"/>
                <w:szCs w:val="21"/>
                <w:color w:val="auto"/>
                <w:w w:val="85"/>
                <w:vertAlign w:val="superscript"/>
              </w:rPr>
              <w:t>(3)</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$949,748</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w:t>
            </w: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Executive</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$300,000</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$20,826</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$320,826</w:t>
            </w:r>
          </w:p>
        </w:tc>
        <w:tc>
          <w:tcPr>
            <w:tcW w:w="0" w:type="dxa"/>
            <w:vAlign w:val="bottom"/>
          </w:tcPr>
          <w:p>
            <w:pPr>
              <w:spacing w:after="0"/>
              <w:rPr>
                <w:sz w:val="1"/>
                <w:szCs w:val="1"/>
                <w:color w:val="auto"/>
              </w:rPr>
            </w:pPr>
          </w:p>
        </w:tc>
      </w:tr>
      <w:tr>
        <w:trPr>
          <w:trHeight w:val="152"/>
        </w:trPr>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20"/>
              <w:spacing w:after="0"/>
              <w:rPr>
                <w:sz w:val="20"/>
                <w:szCs w:val="20"/>
                <w:color w:val="auto"/>
              </w:rPr>
            </w:pPr>
            <w:r>
              <w:rPr>
                <w:rFonts w:ascii="Arial" w:cs="Arial" w:eastAsia="Arial" w:hAnsi="Arial"/>
                <w:sz w:val="16"/>
                <w:szCs w:val="16"/>
                <w:color w:val="auto"/>
              </w:rPr>
              <w:t>Kelly</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2022</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$377,164</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$16,530</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$393,694</w:t>
            </w: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620" w:type="dxa"/>
            <w:vAlign w:val="bottom"/>
            <w:gridSpan w:val="2"/>
            <w:vMerge w:val="restart"/>
          </w:tcPr>
          <w:p>
            <w:pPr>
              <w:ind w:left="200"/>
              <w:spacing w:after="0"/>
              <w:rPr>
                <w:sz w:val="20"/>
                <w:szCs w:val="20"/>
                <w:color w:val="auto"/>
              </w:rPr>
            </w:pPr>
            <w:r>
              <w:rPr>
                <w:rFonts w:ascii="Arial" w:cs="Arial" w:eastAsia="Arial" w:hAnsi="Arial"/>
                <w:sz w:val="16"/>
                <w:szCs w:val="16"/>
                <w:color w:val="auto"/>
              </w:rPr>
              <w:t>2021</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$375,000</w:t>
            </w:r>
          </w:p>
        </w:tc>
        <w:tc>
          <w:tcPr>
            <w:tcW w:w="12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3"/>
              </w:rPr>
              <w:t>$94,424</w:t>
            </w:r>
          </w:p>
        </w:tc>
        <w:tc>
          <w:tcPr>
            <w:tcW w:w="2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$52,500</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$521,924</w:t>
            </w: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Chief</w:t>
            </w:r>
          </w:p>
        </w:tc>
        <w:tc>
          <w:tcPr>
            <w:tcW w:w="6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Financial</w:t>
            </w:r>
          </w:p>
        </w:tc>
        <w:tc>
          <w:tcPr>
            <w:tcW w:w="620" w:type="dxa"/>
            <w:vAlign w:val="bottom"/>
            <w:gridSpan w:val="2"/>
            <w:vMerge w:val="restart"/>
          </w:tcPr>
          <w:p>
            <w:pPr>
              <w:ind w:left="20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$356,250</w:t>
            </w:r>
          </w:p>
        </w:tc>
        <w:tc>
          <w:tcPr>
            <w:tcW w:w="12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$52,283</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$408,533</w:t>
            </w:r>
          </w:p>
        </w:tc>
        <w:tc>
          <w:tcPr>
            <w:tcW w:w="0" w:type="dxa"/>
            <w:vAlign w:val="bottom"/>
          </w:tcPr>
          <w:p>
            <w:pPr>
              <w:spacing w:after="0"/>
              <w:rPr>
                <w:sz w:val="1"/>
                <w:szCs w:val="1"/>
                <w:color w:val="auto"/>
              </w:rPr>
            </w:pPr>
          </w:p>
        </w:tc>
      </w:tr>
      <w:tr>
        <w:trPr>
          <w:trHeight w:val="112"/>
        </w:trPr>
        <w:tc>
          <w:tcPr>
            <w:tcW w:w="1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Officer</w:t>
            </w:r>
          </w:p>
        </w:tc>
        <w:tc>
          <w:tcPr>
            <w:tcW w:w="6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2022</w:t>
            </w:r>
          </w:p>
        </w:tc>
        <w:tc>
          <w:tcPr>
            <w:tcW w:w="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$427,452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$415,220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$842,672</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4"/>
              </w:rPr>
              <w:t>Chief Revenue</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$425,000</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$94,424</w:t>
            </w: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$2,286,508</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$2,805,932</w:t>
            </w:r>
          </w:p>
        </w:tc>
        <w:tc>
          <w:tcPr>
            <w:tcW w:w="0" w:type="dxa"/>
            <w:vAlign w:val="bottom"/>
          </w:tcPr>
          <w:p>
            <w:pPr>
              <w:spacing w:after="0"/>
              <w:rPr>
                <w:sz w:val="1"/>
                <w:szCs w:val="1"/>
                <w:color w:val="auto"/>
              </w:rPr>
            </w:pPr>
          </w:p>
        </w:tc>
      </w:tr>
      <w:tr>
        <w:trPr>
          <w:trHeight w:val="71"/>
        </w:trPr>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$209,280</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$12,952</w:t>
            </w:r>
            <w:r>
              <w:rPr>
                <w:rFonts w:ascii="Arial" w:cs="Arial" w:eastAsia="Arial" w:hAnsi="Arial"/>
                <w:sz w:val="21"/>
                <w:szCs w:val="21"/>
                <w:color w:val="auto"/>
                <w:w w:val="88"/>
                <w:vertAlign w:val="superscript"/>
              </w:rPr>
              <w:t>(4)</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$28,122,500</w:t>
            </w: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$252,009</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$28,596,741</w:t>
            </w:r>
          </w:p>
        </w:tc>
        <w:tc>
          <w:tcPr>
            <w:tcW w:w="0" w:type="dxa"/>
            <w:vAlign w:val="bottom"/>
          </w:tcPr>
          <w:p>
            <w:pPr>
              <w:spacing w:after="0"/>
              <w:rPr>
                <w:sz w:val="1"/>
                <w:szCs w:val="1"/>
                <w:color w:val="auto"/>
              </w:rPr>
            </w:pPr>
          </w:p>
        </w:tc>
      </w:tr>
      <w:tr>
        <w:trPr>
          <w:trHeight w:val="141"/>
        </w:trPr>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20"/>
              <w:spacing w:after="0"/>
              <w:rPr>
                <w:sz w:val="20"/>
                <w:szCs w:val="20"/>
                <w:color w:val="auto"/>
              </w:rPr>
            </w:pPr>
            <w:r>
              <w:rPr>
                <w:rFonts w:ascii="Arial" w:cs="Arial" w:eastAsia="Arial" w:hAnsi="Arial"/>
                <w:sz w:val="16"/>
                <w:szCs w:val="16"/>
                <w:color w:val="auto"/>
                <w:w w:val="99"/>
              </w:rPr>
              <w:t>Aparna Bawa,</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2022</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$402,308</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$17,632</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$419,940</w:t>
            </w: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Chief</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Operating</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2021</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$356,250</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$10,217,203</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$49,892</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$10,623,345</w:t>
            </w: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Officer and</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Interim Chief</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2020</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$296,875</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$43,569</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$340,444</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Legal Officer</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2022</w:t>
            </w:r>
          </w:p>
        </w:tc>
        <w:tc>
          <w:tcPr>
            <w:tcW w:w="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$377,164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$16,530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$393,694</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$343,750</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$94,424</w:t>
            </w: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$48,137</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$486,311</w:t>
            </w:r>
          </w:p>
        </w:tc>
        <w:tc>
          <w:tcPr>
            <w:tcW w:w="0" w:type="dxa"/>
            <w:vAlign w:val="bottom"/>
          </w:tcPr>
          <w:p>
            <w:pPr>
              <w:spacing w:after="0"/>
              <w:rPr>
                <w:sz w:val="1"/>
                <w:szCs w:val="1"/>
                <w:color w:val="auto"/>
              </w:rPr>
            </w:pPr>
          </w:p>
        </w:tc>
      </w:tr>
      <w:tr>
        <w:trPr>
          <w:trHeight w:val="71"/>
        </w:trPr>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Marketing</w:t>
            </w: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$296,875</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$34,194</w:t>
            </w: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$331,069</w:t>
            </w:r>
          </w:p>
        </w:tc>
        <w:tc>
          <w:tcPr>
            <w:tcW w:w="0" w:type="dxa"/>
            <w:vAlign w:val="bottom"/>
          </w:tcPr>
          <w:p>
            <w:pPr>
              <w:spacing w:after="0"/>
              <w:rPr>
                <w:sz w:val="1"/>
                <w:szCs w:val="1"/>
                <w:color w:val="auto"/>
              </w:rPr>
            </w:pPr>
          </w:p>
        </w:tc>
      </w:tr>
      <w:tr>
        <w:trPr>
          <w:trHeight w:val="226"/>
        </w:trPr>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16" w:lineRule="exact"/>
        <w:rPr>
          <w:sz w:val="20"/>
          <w:szCs w:val="20"/>
          <w:color w:val="auto"/>
        </w:rPr>
      </w:pPr>
    </w:p>
    <w:p>
      <w:pPr>
        <w:ind w:left="340" w:hanging="332"/>
        <w:spacing w:after="0" w:line="27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 date fair value of stock awards granted in each respective fiscal year as determined in accordance with FASB ASC Topic 718. These amounts may not actually reflect to the actual</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40"/>
          </w:cols>
          <w:pgMar w:left="320" w:top="1417" w:right="339" w:bottom="1440" w:gutter="0" w:footer="0" w:header="0"/>
          <w:type w:val="continuous"/>
        </w:sectPr>
      </w:pPr>
    </w:p>
    <w:bookmarkStart w:id="48" w:name="page49"/>
    <w:bookmarkEnd w:id="48"/>
    <w:p>
      <w:pPr>
        <w:ind w:left="340" w:right="20"/>
        <w:spacing w:after="0" w:line="255" w:lineRule="auto"/>
        <w:rPr>
          <w:sz w:val="20"/>
          <w:szCs w:val="20"/>
          <w:color w:val="auto"/>
        </w:rPr>
      </w:pPr>
      <w:r>
        <w:rPr>
          <w:rFonts w:ascii="Arial" w:cs="Arial" w:eastAsia="Arial" w:hAnsi="Arial"/>
          <w:sz w:val="16"/>
          <w:szCs w:val="16"/>
          <w:color w:val="auto"/>
        </w:rPr>
        <w:t>value that will be realized by our named executive officers. The assumptions used to calculate the value of stock awards are set forth under Note 9 of the Notes to Consolidated Financial Statements contained in our Annual Report on Form 10-K for the fiscal year ended January 31, 2022.</w:t>
      </w:r>
    </w:p>
    <w:p>
      <w:pPr>
        <w:spacing w:after="0" w:line="1" w:lineRule="exact"/>
        <w:rPr>
          <w:sz w:val="20"/>
          <w:szCs w:val="20"/>
          <w:color w:val="auto"/>
        </w:rPr>
      </w:pPr>
    </w:p>
    <w:p>
      <w:pPr>
        <w:ind w:left="340" w:hanging="332"/>
        <w:spacing w:after="0" w:line="24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disclosed represent the applicable named executive officer’s total performance incentive bonus earned for the fiscal year ended January 31, 2022, as further described above under “Compensation Discussion and Analysis.”</w:t>
      </w: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amounts paid by us for personal security services for Mr. Yuan, as further described above under "Compensation Discussion and Analysis."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amounts paid as a non-recoverable draw on commission payments for the first three months of Mr. Azus' employment pursuant to the terms of his offer letter with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table below shows, for the fiscal year ended January 31, 2022, certain information regarding grants of plan-based awards to our named executive officers. None of our named executive officers received stock awards, option awards or equity incentive plan awards during fiscal 2022.</w:t>
      </w:r>
    </w:p>
    <w:p>
      <w:pPr>
        <w:spacing w:after="0" w:line="214"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Estimated Possible Payouts Under Non-Equity Incentive</w:t>
      </w:r>
    </w:p>
    <w:p>
      <w:pPr>
        <w:spacing w:after="0" w:line="6"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Plan Awards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2520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76"/>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9"/>
              </w:rPr>
              <w:t>Target</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176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Award Type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Threshold ($)</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Maximum ($)</w:t>
            </w:r>
          </w:p>
        </w:tc>
        <w:tc>
          <w:tcPr>
            <w:tcW w:w="120" w:type="dxa"/>
            <w:vAlign w:val="bottom"/>
            <w:tcBorders>
              <w:bottom w:val="single" w:sz="8" w:color="CCEEFF"/>
            </w:tcBorders>
          </w:tcPr>
          <w:p>
            <w:pPr>
              <w:spacing w:after="0"/>
              <w:rPr>
                <w:sz w:val="19"/>
                <w:szCs w:val="19"/>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Cash - Officer Incentive Plan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24,000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48,000</w:t>
            </w:r>
          </w:p>
        </w:tc>
        <w:tc>
          <w:tcPr>
            <w:tcW w:w="120" w:type="dxa"/>
            <w:vAlign w:val="bottom"/>
            <w:shd w:val="clear" w:color="auto" w:fill="CCEEFF"/>
          </w:tcPr>
          <w:p>
            <w:pPr>
              <w:spacing w:after="0"/>
              <w:rPr>
                <w:sz w:val="19"/>
                <w:szCs w:val="19"/>
                <w:color w:val="auto"/>
              </w:rPr>
            </w:pPr>
          </w:p>
        </w:tc>
      </w:tr>
      <w:tr>
        <w:trPr>
          <w:trHeight w:val="227"/>
        </w:trPr>
        <w:tc>
          <w:tcPr>
            <w:tcW w:w="1760" w:type="dxa"/>
            <w:vAlign w:val="bottom"/>
          </w:tcPr>
          <w:p>
            <w:pPr>
              <w:ind w:left="20"/>
              <w:spacing w:after="0"/>
              <w:rPr>
                <w:sz w:val="20"/>
                <w:szCs w:val="20"/>
                <w:color w:val="auto"/>
              </w:rPr>
            </w:pPr>
            <w:r>
              <w:rPr>
                <w:rFonts w:ascii="Arial" w:cs="Arial" w:eastAsia="Arial" w:hAnsi="Arial"/>
                <w:sz w:val="16"/>
                <w:szCs w:val="16"/>
                <w:color w:val="auto"/>
              </w:rPr>
              <w:t>Kelly Steckelberg</w:t>
            </w:r>
          </w:p>
        </w:tc>
        <w:tc>
          <w:tcPr>
            <w:tcW w:w="120" w:type="dxa"/>
            <w:vAlign w:val="bottom"/>
          </w:tcPr>
          <w:p>
            <w:pPr>
              <w:spacing w:after="0"/>
              <w:rPr>
                <w:sz w:val="19"/>
                <w:szCs w:val="19"/>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Cash - Officer Incentive Plan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30,000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120" w:type="dxa"/>
            <w:vAlign w:val="bottom"/>
          </w:tcPr>
          <w:p>
            <w:pPr>
              <w:spacing w:after="0"/>
              <w:rPr>
                <w:sz w:val="19"/>
                <w:szCs w:val="19"/>
                <w:color w:val="auto"/>
              </w:rPr>
            </w:pPr>
          </w:p>
        </w:tc>
      </w:tr>
      <w:tr>
        <w:trPr>
          <w:trHeight w:val="22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Cash - Officer Incentive Plan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22,313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79,688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159,375</w:t>
            </w:r>
          </w:p>
        </w:tc>
        <w:tc>
          <w:tcPr>
            <w:tcW w:w="120" w:type="dxa"/>
            <w:vAlign w:val="bottom"/>
            <w:shd w:val="clear" w:color="auto" w:fill="CCEEFF"/>
          </w:tcPr>
          <w:p>
            <w:pPr>
              <w:spacing w:after="0"/>
              <w:rPr>
                <w:sz w:val="19"/>
                <w:szCs w:val="19"/>
                <w:color w:val="auto"/>
              </w:rPr>
            </w:pPr>
          </w:p>
        </w:tc>
      </w:tr>
      <w:tr>
        <w:trPr>
          <w:trHeight w:val="235"/>
        </w:trPr>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Cash - Sales Compensation Plan</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292,086</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r>
      <w:tr>
        <w:trPr>
          <w:trHeight w:val="227"/>
        </w:trPr>
        <w:tc>
          <w:tcPr>
            <w:tcW w:w="1760" w:type="dxa"/>
            <w:vAlign w:val="bottom"/>
          </w:tcPr>
          <w:p>
            <w:pPr>
              <w:ind w:left="20"/>
              <w:spacing w:after="0"/>
              <w:rPr>
                <w:sz w:val="20"/>
                <w:szCs w:val="20"/>
                <w:color w:val="auto"/>
              </w:rPr>
            </w:pPr>
            <w:r>
              <w:rPr>
                <w:rFonts w:ascii="Arial" w:cs="Arial" w:eastAsia="Arial" w:hAnsi="Arial"/>
                <w:sz w:val="16"/>
                <w:szCs w:val="16"/>
                <w:color w:val="auto"/>
              </w:rPr>
              <w:t>Aparna Bawa</w:t>
            </w:r>
          </w:p>
        </w:tc>
        <w:tc>
          <w:tcPr>
            <w:tcW w:w="120" w:type="dxa"/>
            <w:vAlign w:val="bottom"/>
          </w:tcPr>
          <w:p>
            <w:pPr>
              <w:spacing w:after="0"/>
              <w:rPr>
                <w:sz w:val="19"/>
                <w:szCs w:val="19"/>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Cash - Officer Incentive Plan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8,960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32,000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64,000</w:t>
            </w:r>
          </w:p>
        </w:tc>
        <w:tc>
          <w:tcPr>
            <w:tcW w:w="120" w:type="dxa"/>
            <w:vAlign w:val="bottom"/>
          </w:tcPr>
          <w:p>
            <w:pPr>
              <w:spacing w:after="0"/>
              <w:rPr>
                <w:sz w:val="19"/>
                <w:szCs w:val="19"/>
                <w:color w:val="auto"/>
              </w:rPr>
            </w:pPr>
          </w:p>
        </w:tc>
      </w:tr>
      <w:tr>
        <w:trPr>
          <w:trHeight w:val="23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1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Cash - Officer Incentive Plan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8,400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30,000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60,000</w:t>
            </w:r>
          </w:p>
        </w:tc>
        <w:tc>
          <w:tcPr>
            <w:tcW w:w="120" w:type="dxa"/>
            <w:vAlign w:val="bottom"/>
            <w:shd w:val="clear" w:color="auto" w:fill="CCEEFF"/>
          </w:tcPr>
          <w:p>
            <w:pPr>
              <w:spacing w:after="0"/>
              <w:rPr>
                <w:sz w:val="20"/>
                <w:szCs w:val="20"/>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12" w:lineRule="exact"/>
        <w:rPr>
          <w:sz w:val="20"/>
          <w:szCs w:val="20"/>
          <w:color w:val="auto"/>
        </w:rPr>
      </w:pPr>
    </w:p>
    <w:p>
      <w:pPr>
        <w:ind w:left="340" w:hanging="332"/>
        <w:spacing w:after="0" w:line="277"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range of possible payouts to our named executive officers for fiscal 2022 under the Officer Incentive Plan and, for Mr. Azus, under the Sales Compensation Plan, as further described above under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6"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the outstanding and exercisable and unexercisable stock options and unvested RSU awards held by our named executive officers as of January 31, 2022. The market value for the stock awards was calculated by multiplying the number of shares of our common stock subject to each award by $154.28, which was the closing market price of our common stock on January 31, 2022.</w:t>
      </w:r>
    </w:p>
    <w:p>
      <w:pPr>
        <w:spacing w:after="0" w:line="206"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Option Awards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ind w:left="52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00"/>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Market value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line="20" w:lineRule="exact"/>
              <w:rPr>
                <w:sz w:val="1"/>
                <w:szCs w:val="1"/>
                <w:color w:val="auto"/>
              </w:rPr>
            </w:pPr>
          </w:p>
        </w:tc>
      </w:tr>
      <w:tr>
        <w:trPr>
          <w:trHeight w:val="162"/>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Option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shares or</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Underlying</w:t>
            </w:r>
          </w:p>
        </w:tc>
        <w:tc>
          <w:tcPr>
            <w:tcW w:w="120" w:type="dxa"/>
            <w:vAlign w:val="bottom"/>
          </w:tcPr>
          <w:p>
            <w:pPr>
              <w:spacing w:after="0"/>
              <w:rPr>
                <w:sz w:val="5"/>
                <w:szCs w:val="5"/>
                <w:color w:val="auto"/>
              </w:rPr>
            </w:pPr>
          </w:p>
        </w:tc>
        <w:tc>
          <w:tcPr>
            <w:tcW w:w="12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Unexercised</w:t>
            </w:r>
          </w:p>
        </w:tc>
        <w:tc>
          <w:tcPr>
            <w:tcW w:w="9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units of</w:t>
            </w:r>
          </w:p>
        </w:tc>
        <w:tc>
          <w:tcPr>
            <w:tcW w:w="9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w:t>
            </w:r>
          </w:p>
        </w:tc>
        <w:tc>
          <w:tcPr>
            <w:tcW w:w="1100" w:type="dxa"/>
            <w:vAlign w:val="bottom"/>
            <w:gridSpan w:val="2"/>
            <w:vMerge w:val="restart"/>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Option</w:t>
            </w:r>
          </w:p>
        </w:tc>
        <w:tc>
          <w:tcPr>
            <w:tcW w:w="10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20" w:type="dxa"/>
            <w:vAlign w:val="bottom"/>
          </w:tcPr>
          <w:p>
            <w:pPr>
              <w:spacing w:after="0"/>
              <w:rPr>
                <w:sz w:val="5"/>
                <w:szCs w:val="5"/>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98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stock that</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62"/>
        </w:trPr>
        <w:tc>
          <w:tcPr>
            <w:tcW w:w="1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Grant Date</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Price Per</w:t>
            </w:r>
          </w:p>
        </w:tc>
        <w:tc>
          <w:tcPr>
            <w:tcW w:w="11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Expiration</w:t>
            </w:r>
          </w:p>
        </w:tc>
        <w:tc>
          <w:tcPr>
            <w:tcW w:w="10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Unexercisable</w:t>
            </w:r>
          </w:p>
        </w:tc>
        <w:tc>
          <w:tcPr>
            <w:tcW w:w="980" w:type="dxa"/>
            <w:vAlign w:val="bottom"/>
            <w:gridSpan w:val="2"/>
          </w:tcPr>
          <w:p>
            <w:pPr>
              <w:jc w:val="center"/>
              <w:ind w:right="140"/>
              <w:spacing w:after="0" w:line="162"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(1)</w:t>
            </w:r>
          </w:p>
        </w:tc>
        <w:tc>
          <w:tcPr>
            <w:tcW w:w="11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Date</w:t>
            </w: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have not</w:t>
            </w:r>
          </w:p>
        </w:tc>
        <w:tc>
          <w:tcPr>
            <w:tcW w:w="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Exercisable</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6"/>
              </w:rPr>
              <w:t>vested</w:t>
            </w: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1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(2)</w:t>
            </w:r>
          </w:p>
        </w:tc>
        <w:tc>
          <w:tcPr>
            <w:tcW w:w="1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19,265</w:t>
            </w:r>
          </w:p>
        </w:tc>
        <w:tc>
          <w:tcPr>
            <w:tcW w:w="1220" w:type="dxa"/>
            <w:vAlign w:val="bottom"/>
            <w:gridSpan w:val="2"/>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89"/>
              </w:rPr>
              <w:t>23,560</w:t>
            </w:r>
          </w:p>
        </w:tc>
        <w:tc>
          <w:tcPr>
            <w:tcW w:w="12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09/24/2023</w:t>
            </w:r>
          </w:p>
        </w:tc>
        <w:tc>
          <w:tcPr>
            <w:tcW w:w="120" w:type="dxa"/>
            <w:vAlign w:val="bottom"/>
            <w:shd w:val="clear" w:color="auto" w:fill="CCEEFF"/>
          </w:tcPr>
          <w:p>
            <w:pPr>
              <w:spacing w:after="0"/>
              <w:rPr>
                <w:sz w:val="21"/>
                <w:szCs w:val="21"/>
                <w:color w:val="auto"/>
              </w:rPr>
            </w:pPr>
          </w:p>
        </w:tc>
        <w:tc>
          <w:tcPr>
            <w:tcW w:w="10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113,425</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line="166" w:lineRule="exact"/>
              <w:rPr>
                <w:sz w:val="20"/>
                <w:szCs w:val="20"/>
                <w:color w:val="auto"/>
              </w:rPr>
            </w:pPr>
            <w:r>
              <w:rPr>
                <w:rFonts w:ascii="Arial" w:cs="Arial" w:eastAsia="Arial" w:hAnsi="Arial"/>
                <w:sz w:val="16"/>
                <w:szCs w:val="16"/>
                <w:color w:val="auto"/>
              </w:rPr>
              <w:t>Kelly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0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225</w:t>
            </w:r>
          </w:p>
        </w:tc>
        <w:tc>
          <w:tcPr>
            <w:tcW w:w="12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r>
        <w:trPr>
          <w:trHeight w:val="104"/>
        </w:trPr>
        <w:tc>
          <w:tcPr>
            <w:tcW w:w="1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(5)</w:t>
            </w:r>
          </w:p>
        </w:tc>
        <w:tc>
          <w:tcPr>
            <w:tcW w:w="12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100,000</w:t>
            </w:r>
          </w:p>
        </w:tc>
        <w:tc>
          <w:tcPr>
            <w:tcW w:w="120" w:type="dxa"/>
            <w:vAlign w:val="bottom"/>
          </w:tcPr>
          <w:p>
            <w:pPr>
              <w:spacing w:after="0"/>
              <w:rPr>
                <w:sz w:val="21"/>
                <w:szCs w:val="2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tcPr>
          <w:p>
            <w:pPr>
              <w:spacing w:after="0"/>
              <w:rPr>
                <w:sz w:val="21"/>
                <w:szCs w:val="21"/>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2"/>
                <w:szCs w:val="22"/>
                <w:color w:val="auto"/>
              </w:rPr>
            </w:pP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01/06/2018</w:t>
            </w:r>
            <w:r>
              <w:rPr>
                <w:rFonts w:ascii="Arial" w:cs="Arial" w:eastAsia="Arial" w:hAnsi="Arial"/>
                <w:sz w:val="21"/>
                <w:szCs w:val="21"/>
                <w:color w:val="auto"/>
                <w:w w:val="88"/>
                <w:vertAlign w:val="superscript"/>
              </w:rPr>
              <w:t>(6)</w:t>
            </w:r>
          </w:p>
        </w:tc>
        <w:tc>
          <w:tcPr>
            <w:tcW w:w="12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797,900</w:t>
            </w:r>
          </w:p>
        </w:tc>
        <w:tc>
          <w:tcPr>
            <w:tcW w:w="120" w:type="dxa"/>
            <w:vAlign w:val="bottom"/>
          </w:tcPr>
          <w:p>
            <w:pPr>
              <w:spacing w:after="0"/>
              <w:rPr>
                <w:sz w:val="22"/>
                <w:szCs w:val="2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$1.31</w:t>
            </w: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01/06/2028</w:t>
            </w:r>
          </w:p>
        </w:tc>
        <w:tc>
          <w:tcPr>
            <w:tcW w:w="120" w:type="dxa"/>
            <w:vAlign w:val="bottom"/>
          </w:tcPr>
          <w:p>
            <w:pPr>
              <w:spacing w:after="0"/>
              <w:rPr>
                <w:sz w:val="22"/>
                <w:szCs w:val="2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51"/>
        </w:trPr>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14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225</w:t>
            </w:r>
          </w:p>
        </w:tc>
        <w:tc>
          <w:tcPr>
            <w:tcW w:w="1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r>
        <w:trPr>
          <w:trHeight w:val="100"/>
        </w:trPr>
        <w:tc>
          <w:tcPr>
            <w:tcW w:w="110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9"/>
              <w:spacing w:after="0" w:line="230" w:lineRule="exact"/>
              <w:rPr>
                <w:sz w:val="20"/>
                <w:szCs w:val="20"/>
                <w:color w:val="auto"/>
              </w:rPr>
            </w:pPr>
            <w:r>
              <w:rPr>
                <w:rFonts w:ascii="Arial" w:cs="Arial" w:eastAsia="Arial" w:hAnsi="Arial"/>
                <w:sz w:val="16"/>
                <w:szCs w:val="16"/>
                <w:color w:val="auto"/>
                <w:w w:val="88"/>
              </w:rPr>
              <w:t>09/10/2019</w:t>
            </w:r>
            <w:r>
              <w:rPr>
                <w:rFonts w:ascii="Arial" w:cs="Arial" w:eastAsia="Arial" w:hAnsi="Arial"/>
                <w:sz w:val="21"/>
                <w:szCs w:val="21"/>
                <w:color w:val="auto"/>
                <w:w w:val="88"/>
                <w:vertAlign w:val="superscript"/>
              </w:rPr>
              <w:t>(7)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153,125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$23,624,125</w:t>
            </w:r>
          </w:p>
        </w:tc>
        <w:tc>
          <w:tcPr>
            <w:tcW w:w="0" w:type="dxa"/>
            <w:vAlign w:val="bottom"/>
          </w:tcPr>
          <w:p>
            <w:pPr>
              <w:spacing w:after="0"/>
              <w:rPr>
                <w:sz w:val="1"/>
                <w:szCs w:val="1"/>
                <w:color w:val="auto"/>
              </w:rPr>
            </w:pPr>
          </w:p>
        </w:tc>
      </w:tr>
      <w:tr>
        <w:trPr>
          <w:trHeight w:val="247"/>
        </w:trPr>
        <w:tc>
          <w:tcPr>
            <w:tcW w:w="1100" w:type="dxa"/>
            <w:vAlign w:val="bottom"/>
          </w:tcPr>
          <w:p>
            <w:pPr>
              <w:ind w:left="20"/>
              <w:spacing w:after="0"/>
              <w:rPr>
                <w:sz w:val="20"/>
                <w:szCs w:val="20"/>
                <w:color w:val="auto"/>
              </w:rPr>
            </w:pPr>
            <w:r>
              <w:rPr>
                <w:rFonts w:ascii="Arial" w:cs="Arial" w:eastAsia="Arial" w:hAnsi="Arial"/>
                <w:sz w:val="16"/>
                <w:szCs w:val="16"/>
                <w:color w:val="auto"/>
              </w:rPr>
              <w:t>Aparna Bawa</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09/04/2020</w:t>
            </w:r>
            <w:r>
              <w:rPr>
                <w:rFonts w:ascii="Arial" w:cs="Arial" w:eastAsia="Arial" w:hAnsi="Arial"/>
                <w:sz w:val="21"/>
                <w:szCs w:val="21"/>
                <w:color w:val="auto"/>
                <w:w w:val="88"/>
                <w:vertAlign w:val="superscript"/>
              </w:rPr>
              <w:t>(7)</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18,815</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$2,902,778</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140" w:type="dxa"/>
            <w:vAlign w:val="bottom"/>
            <w:gridSpan w:val="2"/>
          </w:tcPr>
          <w:p>
            <w:pPr>
              <w:jc w:val="center"/>
              <w:ind w:left="39"/>
              <w:spacing w:after="0" w:line="230" w:lineRule="exact"/>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225</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140" w:type="dxa"/>
            <w:vAlign w:val="bottom"/>
            <w:gridSpan w:val="2"/>
          </w:tcPr>
          <w:p>
            <w:pPr>
              <w:jc w:val="center"/>
              <w:ind w:left="39"/>
              <w:spacing w:after="0" w:line="213" w:lineRule="exact"/>
              <w:rPr>
                <w:sz w:val="20"/>
                <w:szCs w:val="20"/>
                <w:color w:val="auto"/>
              </w:rPr>
            </w:pPr>
            <w:r>
              <w:rPr>
                <w:rFonts w:ascii="Arial" w:cs="Arial" w:eastAsia="Arial" w:hAnsi="Arial"/>
                <w:sz w:val="16"/>
                <w:szCs w:val="16"/>
                <w:color w:val="auto"/>
                <w:w w:val="88"/>
              </w:rPr>
              <w:t>09/06/2018</w:t>
            </w:r>
            <w:r>
              <w:rPr>
                <w:rFonts w:ascii="Arial" w:cs="Arial" w:eastAsia="Arial" w:hAnsi="Arial"/>
                <w:sz w:val="21"/>
                <w:szCs w:val="21"/>
                <w:color w:val="auto"/>
                <w:w w:val="88"/>
                <w:vertAlign w:val="superscript"/>
              </w:rPr>
              <w:t>(8)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$9,256,800</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1140" w:type="dxa"/>
            <w:vAlign w:val="bottom"/>
            <w:gridSpan w:val="2"/>
            <w:shd w:val="clear" w:color="auto" w:fill="CCEEFF"/>
          </w:tcPr>
          <w:p>
            <w:pPr>
              <w:jc w:val="center"/>
              <w:ind w:left="39"/>
              <w:spacing w:after="0" w:line="230" w:lineRule="exact"/>
              <w:rPr>
                <w:sz w:val="20"/>
                <w:szCs w:val="20"/>
                <w:color w:val="auto"/>
              </w:rPr>
            </w:pPr>
            <w:r>
              <w:rPr>
                <w:rFonts w:ascii="Arial" w:cs="Arial" w:eastAsia="Arial" w:hAnsi="Arial"/>
                <w:sz w:val="16"/>
                <w:szCs w:val="16"/>
                <w:color w:val="auto"/>
                <w:w w:val="88"/>
              </w:rPr>
              <w:t>09/06/2018</w:t>
            </w:r>
            <w:r>
              <w:rPr>
                <w:rFonts w:ascii="Arial" w:cs="Arial" w:eastAsia="Arial" w:hAnsi="Arial"/>
                <w:sz w:val="21"/>
                <w:szCs w:val="21"/>
                <w:color w:val="auto"/>
                <w:w w:val="88"/>
                <w:vertAlign w:val="superscript"/>
              </w:rPr>
              <w:t>(9)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80,990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09/06/2028</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line="230" w:lineRule="exact"/>
              <w:rPr>
                <w:sz w:val="20"/>
                <w:szCs w:val="20"/>
                <w:color w:val="auto"/>
              </w:rPr>
            </w:pPr>
            <w:r>
              <w:rPr>
                <w:rFonts w:ascii="Arial" w:cs="Arial" w:eastAsia="Arial" w:hAnsi="Arial"/>
                <w:sz w:val="16"/>
                <w:szCs w:val="16"/>
                <w:color w:val="auto"/>
                <w:w w:val="88"/>
              </w:rPr>
              <w:t>09/06/2018</w:t>
            </w:r>
            <w:r>
              <w:rPr>
                <w:rFonts w:ascii="Arial" w:cs="Arial" w:eastAsia="Arial" w:hAnsi="Arial"/>
                <w:sz w:val="21"/>
                <w:szCs w:val="21"/>
                <w:color w:val="auto"/>
                <w:w w:val="88"/>
                <w:vertAlign w:val="superscript"/>
              </w:rPr>
              <w:t>(9)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119,825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09/06/2028</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line="230" w:lineRule="exact"/>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options were granted with a per share exercise price equal to the fair market value of one share of our common stock on the date of grant, as determined in good faith by our Board of Directors or Compensation Committee, except that Mr. Yuan’s stock option covering 42,825 shares was granted with an exercise price per share equal to 110% of the fair market value of one share of our common stock on the date of grant in order to comply with tax rules governing options intended to be “incentive stock options.”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2"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 half of the shares subject to the award vested on June 8, 2021 and the remaining shares subject to the award vest on June 8, 2022, subject to the executive's continuous service with us as of each such vesting 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40"/>
          </w:cols>
          <w:pgMar w:left="320" w:top="1440" w:right="339" w:bottom="1440" w:gutter="0" w:footer="0" w:header="0"/>
          <w:type w:val="continuous"/>
        </w:sectPr>
      </w:pPr>
    </w:p>
    <w:bookmarkStart w:id="50" w:name="page51"/>
    <w:bookmarkEnd w:id="50"/>
    <w:p>
      <w:pPr>
        <w:jc w:val="both"/>
        <w:ind w:left="340" w:hanging="332"/>
        <w:spacing w:after="0" w:line="254"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September 24, 2018, subject to Ms. Steckelberg’s continuous service with us as of each such vesting date.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2"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January 6, 2019 and the remaining shares subject to the option vest in 36 equal monthly installments measured from January 6, 2019, subject to Ms. Steckelberg’s continuous service with us as of each such vesting date.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jc w:val="both"/>
        <w:ind w:left="340" w:hanging="332"/>
        <w:spacing w:after="0" w:line="281" w:lineRule="auto"/>
        <w:tabs>
          <w:tab w:leader="none" w:pos="334"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One-fourth of the shares subject to the award will vest on the one year anniversary of the grant date and the remaining shares subject to the award vest in 12 equal quarterly installments measured thereafter, subject to the named executive officer’s continuous service with us as of each such vesting date.</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restricted shares of our Class A common stock acquired pursuant to Ms. Bawa’s early exercise of stock options granted in September 2018. As of January 31, 2022, 300,000 shares had vested and 60,000 shares remained subject to our repurchase right in accordance with the option’s vesting schedule. One-fourth of the shares subject to the option vested on September 6, 2019, and one forty-eighth of the total shares vest monthly thereafter, subject to Ms. Bawa’s continued service to us through each such date.</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September 6, 2018, subject to Ms. Pelosi’s continuous service with us as of each such vesting date.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43"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following table shows for the fiscal year ended January 31, 2022, certain information regarding option exercises and stock vested during the last fiscal year with respect to our named executive officers:</w:t>
      </w:r>
    </w:p>
    <w:tbl>
      <w:tblPr>
        <w:tblLayout w:type="fixed"/>
        <w:tblInd w:w="132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ind w:left="800"/>
              <w:spacing w:after="0"/>
              <w:rPr>
                <w:sz w:val="20"/>
                <w:szCs w:val="20"/>
                <w:color w:val="auto"/>
              </w:rPr>
            </w:pPr>
            <w:r>
              <w:rPr>
                <w:rFonts w:ascii="Arial" w:cs="Arial" w:eastAsia="Arial" w:hAnsi="Arial"/>
                <w:sz w:val="16"/>
                <w:szCs w:val="16"/>
                <w:b w:val="1"/>
                <w:bCs w:val="1"/>
                <w:color w:val="auto"/>
              </w:rPr>
              <w:t>Option Awards</w:t>
            </w:r>
          </w:p>
        </w:tc>
        <w:tc>
          <w:tcPr>
            <w:tcW w:w="270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Stock Awards</w:t>
            </w:r>
          </w:p>
        </w:tc>
      </w:tr>
      <w:tr>
        <w:trPr>
          <w:trHeight w:val="202"/>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320" w:type="dxa"/>
            <w:vAlign w:val="bottom"/>
            <w:tcBorders>
              <w:top w:val="single" w:sz="8" w:color="auto"/>
            </w:tcBorders>
          </w:tcPr>
          <w:p>
            <w:pPr>
              <w:spacing w:after="0"/>
              <w:rPr>
                <w:sz w:val="17"/>
                <w:szCs w:val="17"/>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Shares</w:t>
            </w:r>
          </w:p>
        </w:tc>
        <w:tc>
          <w:tcPr>
            <w:tcW w:w="132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92"/>
              </w:rPr>
              <w:t>Acquired</w:t>
            </w:r>
          </w:p>
        </w:tc>
        <w:tc>
          <w:tcPr>
            <w:tcW w:w="140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0"/>
              </w:rPr>
              <w:t>Value Realized</w:t>
            </w:r>
          </w:p>
        </w:tc>
        <w:tc>
          <w:tcPr>
            <w:tcW w:w="138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2"/>
              </w:rPr>
              <w:t>Acquired</w:t>
            </w:r>
          </w:p>
        </w:tc>
        <w:tc>
          <w:tcPr>
            <w:tcW w:w="13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Value Realized</w:t>
            </w: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38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87"/>
              </w:rPr>
              <w:t>on Vesting</w:t>
            </w:r>
          </w:p>
        </w:tc>
        <w:tc>
          <w:tcPr>
            <w:tcW w:w="13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on Vesting</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r>
      <w:tr>
        <w:trPr>
          <w:trHeight w:val="25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99,575,110</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240" w:type="dxa"/>
            <w:vAlign w:val="bottom"/>
          </w:tcPr>
          <w:p>
            <w:pPr>
              <w:jc w:val="right"/>
              <w:spacing w:after="0"/>
              <w:rPr>
                <w:sz w:val="20"/>
                <w:szCs w:val="20"/>
                <w:color w:val="auto"/>
              </w:rPr>
            </w:pPr>
            <w:r>
              <w:rPr>
                <w:rFonts w:ascii="Arial" w:cs="Arial" w:eastAsia="Arial" w:hAnsi="Arial"/>
                <w:sz w:val="18"/>
                <w:szCs w:val="18"/>
                <w:color w:val="auto"/>
              </w:rPr>
              <w:t>154,000</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44,887,475</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76,784</w:t>
            </w:r>
          </w:p>
        </w:tc>
      </w:tr>
      <w:tr>
        <w:trPr>
          <w:trHeight w:val="2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25,654,783</w:t>
            </w: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2,432,187</w:t>
            </w:r>
          </w:p>
        </w:tc>
      </w:tr>
      <w:tr>
        <w:trPr>
          <w:trHeight w:val="2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Janine Pelosi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11,592,796</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76,784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2" w:lineRule="exact"/>
        <w:rPr>
          <w:sz w:val="20"/>
          <w:szCs w:val="20"/>
          <w:color w:val="auto"/>
        </w:rPr>
      </w:pPr>
    </w:p>
    <w:p>
      <w:pPr>
        <w:jc w:val="both"/>
        <w:ind w:left="340" w:hanging="332"/>
        <w:spacing w:after="0" w:line="249"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realized on exercise is based on the difference between the closing price of our Class A common stock on the date of exercise and the applicable exercise price of those options, and does not represent actual amounts received by our named executive officers as a result of the option exercises.</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realized on vesting is determined by multiplying the number of vested RSUs by the closing price of our Class A common stock on the vesting date. The value realized on vesting does not reflect the actual value received by each named executive officer because a portion of the shares reflected in the table above were withheld by us to satisfy the named executive officer’s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51" w:name="page52"/>
    <w:bookmarkEnd w:id="5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333333"/>
        </w:rPr>
        <w:t>We have entered into offer letters with each of our named executive officers. In December 2018, we entered into a confirmatory offer letter with each of Mr. Yuan, Ms. Steckelberg, Ms. Bawa and Ms. Pelosi. We entered into an offer letter with Mr. Azus in June 2019. The offer letters have no specific term and provide for at-will employment and “double trigger” severance benefits upon an involuntary termination in connection with a change in control, as described below under “—Potential Payments upon Termination or Change of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333333"/>
        </w:rPr>
        <w:t>Each of our named executive officers is eligible for severance benefits pursuant to their employee offer letters, as further described above under “Compensation Discussion and Analysis – Severance and Change in Control Benefits.” In addition, each of our named executive officers hold equity awards that are subject to the terms of the equity incentive plan and award agreement thereunder under which such awards were granted. The following table presents information concerning estimated payments and benefits that would be provided in the circumstances described above for each of the named executive officers serving as of the end of the fiscal year ending January 31, 2022. The payments and benefits set forth below are estimated assuming that the termination or change in control event occurred on the last business day of our fiscal year ending January 31, 2022 using the closing market price of our Class A common stock on that date. Actual payments and benefits could be different if such events were to occur on any other date or at any other price or if any other assumptions are used to estimate potential payments and benefits.</w:t>
      </w:r>
    </w:p>
    <w:tbl>
      <w:tblPr>
        <w:tblLayout w:type="fixed"/>
        <w:tblInd w:w="144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2"/>
              </w:rPr>
              <w:t>Certain Change</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in Control</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Transactions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60" w:type="dxa"/>
            <w:vAlign w:val="bottom"/>
            <w:gridSpan w:val="8"/>
          </w:tcPr>
          <w:p>
            <w:pPr>
              <w:ind w:left="340"/>
              <w:spacing w:after="0"/>
              <w:rPr>
                <w:sz w:val="20"/>
                <w:szCs w:val="20"/>
                <w:color w:val="auto"/>
              </w:rPr>
            </w:pPr>
            <w:r>
              <w:rPr>
                <w:rFonts w:ascii="Arial" w:cs="Arial" w:eastAsia="Arial" w:hAnsi="Arial"/>
                <w:sz w:val="16"/>
                <w:szCs w:val="16"/>
                <w:b w:val="1"/>
                <w:bCs w:val="1"/>
                <w:color w:val="auto"/>
              </w:rPr>
              <w:t>Involuntary Termination in Connection with a Change in</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without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Death or</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3"/>
          </w:tcPr>
          <w:p>
            <w:pPr>
              <w:ind w:left="860"/>
              <w:spacing w:after="0" w:line="162" w:lineRule="exact"/>
              <w:rPr>
                <w:sz w:val="20"/>
                <w:szCs w:val="20"/>
                <w:color w:val="auto"/>
              </w:rPr>
            </w:pPr>
            <w:r>
              <w:rPr>
                <w:rFonts w:ascii="Arial" w:cs="Arial" w:eastAsia="Arial" w:hAnsi="Arial"/>
                <w:sz w:val="14"/>
                <w:szCs w:val="14"/>
                <w:b w:val="1"/>
                <w:bCs w:val="1"/>
                <w:color w:val="auto"/>
              </w:rPr>
              <w:t>Control</w:t>
            </w:r>
            <w:r>
              <w:rPr>
                <w:rFonts w:ascii="Arial" w:cs="Arial" w:eastAsia="Arial" w:hAnsi="Arial"/>
                <w:sz w:val="18"/>
                <w:szCs w:val="18"/>
                <w:b w:val="1"/>
                <w:bCs w:val="1"/>
                <w:color w:val="auto"/>
                <w:vertAlign w:val="superscript"/>
              </w:rPr>
              <w:t>(1)</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Termination</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Disability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NEO ($)</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Cash</w:t>
            </w:r>
          </w:p>
        </w:tc>
        <w:tc>
          <w:tcPr>
            <w:tcW w:w="136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98"/>
              </w:rPr>
              <w:t>COBRA</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Equity</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Equity</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Premium</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140" w:type="dxa"/>
            <w:vAlign w:val="bottom"/>
            <w:gridSpan w:val="2"/>
          </w:tcPr>
          <w:p>
            <w:pPr>
              <w:ind w:left="160"/>
              <w:spacing w:after="0" w:line="162" w:lineRule="exact"/>
              <w:rPr>
                <w:sz w:val="20"/>
                <w:szCs w:val="20"/>
                <w:color w:val="auto"/>
              </w:rPr>
            </w:pPr>
            <w:r>
              <w:rPr>
                <w:rFonts w:ascii="Arial" w:cs="Arial" w:eastAsia="Arial" w:hAnsi="Arial"/>
                <w:sz w:val="16"/>
                <w:szCs w:val="16"/>
                <w:b w:val="1"/>
                <w:bCs w:val="1"/>
                <w:color w:val="auto"/>
              </w:rPr>
              <w:t>Severance</w:t>
            </w:r>
          </w:p>
        </w:tc>
        <w:tc>
          <w:tcPr>
            <w:tcW w:w="13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Reimbursement</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Acceleration</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Acceleration</w:t>
            </w:r>
          </w:p>
        </w:tc>
        <w:tc>
          <w:tcPr>
            <w:tcW w:w="0" w:type="dxa"/>
            <w:vAlign w:val="bottom"/>
          </w:tcPr>
          <w:p>
            <w:pPr>
              <w:spacing w:after="0"/>
              <w:rPr>
                <w:sz w:val="1"/>
                <w:szCs w:val="1"/>
                <w:color w:val="auto"/>
              </w:rPr>
            </w:pPr>
          </w:p>
        </w:tc>
      </w:tr>
      <w:tr>
        <w:trPr>
          <w:trHeight w:val="115"/>
        </w:trPr>
        <w:tc>
          <w:tcPr>
            <w:tcW w:w="1240" w:type="dxa"/>
            <w:vAlign w:val="bottom"/>
            <w:gridSpan w:val="2"/>
            <w:vMerge w:val="continue"/>
          </w:tcPr>
          <w:p>
            <w:pPr>
              <w:spacing w:after="0"/>
              <w:rPr>
                <w:sz w:val="10"/>
                <w:szCs w:val="10"/>
                <w:color w:val="auto"/>
              </w:rPr>
            </w:pPr>
          </w:p>
        </w:tc>
        <w:tc>
          <w:tcPr>
            <w:tcW w:w="102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(2)</w:t>
            </w:r>
          </w:p>
        </w:tc>
        <w:tc>
          <w:tcPr>
            <w:tcW w:w="1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0"/>
                <w:szCs w:val="10"/>
                <w:color w:val="auto"/>
              </w:rPr>
            </w:pPr>
          </w:p>
        </w:tc>
        <w:tc>
          <w:tcPr>
            <w:tcW w:w="104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2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0"/>
                <w:szCs w:val="10"/>
                <w:color w:val="auto"/>
              </w:rPr>
            </w:pPr>
          </w:p>
        </w:tc>
        <w:tc>
          <w:tcPr>
            <w:tcW w:w="120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(3)</w:t>
            </w:r>
          </w:p>
        </w:tc>
        <w:tc>
          <w:tcPr>
            <w:tcW w:w="120" w:type="dxa"/>
            <w:vAlign w:val="bottom"/>
          </w:tcPr>
          <w:p>
            <w:pPr>
              <w:spacing w:after="0"/>
              <w:rPr>
                <w:sz w:val="10"/>
                <w:szCs w:val="10"/>
                <w:color w:val="auto"/>
              </w:rPr>
            </w:pPr>
          </w:p>
        </w:tc>
        <w:tc>
          <w:tcPr>
            <w:tcW w:w="104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(3)</w:t>
            </w:r>
          </w:p>
        </w:tc>
        <w:tc>
          <w:tcPr>
            <w:tcW w:w="0" w:type="dxa"/>
            <w:vAlign w:val="bottom"/>
          </w:tcPr>
          <w:p>
            <w:pPr>
              <w:spacing w:after="0"/>
              <w:rPr>
                <w:sz w:val="1"/>
                <w:szCs w:val="1"/>
                <w:color w:val="auto"/>
              </w:rPr>
            </w:pPr>
          </w:p>
        </w:tc>
      </w:tr>
      <w:tr>
        <w:trPr>
          <w:trHeight w:val="100"/>
        </w:trPr>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150,000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14,197</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12,533,497</w:t>
            </w: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12,697,694</w:t>
            </w:r>
          </w:p>
        </w:tc>
        <w:tc>
          <w:tcPr>
            <w:tcW w:w="1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0"/>
        </w:trPr>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2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Kelly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40" w:type="dxa"/>
            <w:vAlign w:val="bottom"/>
            <w:gridSpan w:val="2"/>
          </w:tcPr>
          <w:p>
            <w:pPr>
              <w:ind w:left="20"/>
              <w:spacing w:after="0"/>
              <w:rPr>
                <w:sz w:val="20"/>
                <w:szCs w:val="20"/>
                <w:color w:val="auto"/>
              </w:rPr>
            </w:pPr>
            <w:r>
              <w:rPr>
                <w:rFonts w:ascii="Arial" w:cs="Arial" w:eastAsia="Arial" w:hAnsi="Arial"/>
                <w:sz w:val="16"/>
                <w:szCs w:val="16"/>
                <w:color w:val="auto"/>
              </w:rPr>
              <w:t>Steckelberg</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187,500</w:t>
            </w:r>
          </w:p>
        </w:tc>
        <w:tc>
          <w:tcPr>
            <w:tcW w:w="1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89"/>
              </w:rPr>
              <w:t>3,731</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9"/>
              </w:rPr>
              <w:t>2,543,263</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2"/>
              </w:rPr>
              <w:t>2,734,494</w:t>
            </w:r>
          </w:p>
        </w:tc>
        <w:tc>
          <w:tcPr>
            <w:tcW w:w="12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3"/>
              </w:rPr>
              <w:t>34,713</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r>
        <w:trPr>
          <w:trHeight w:val="98"/>
        </w:trPr>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212,500</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11,139</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23,658,838</w:t>
            </w:r>
          </w:p>
        </w:tc>
        <w:tc>
          <w:tcPr>
            <w:tcW w:w="2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23,882,477</w:t>
            </w:r>
          </w:p>
        </w:tc>
        <w:tc>
          <w:tcPr>
            <w:tcW w:w="12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23,658,838</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23,658,838</w:t>
            </w:r>
          </w:p>
        </w:tc>
        <w:tc>
          <w:tcPr>
            <w:tcW w:w="0" w:type="dxa"/>
            <w:vAlign w:val="bottom"/>
          </w:tcPr>
          <w:p>
            <w:pPr>
              <w:spacing w:after="0"/>
              <w:rPr>
                <w:sz w:val="1"/>
                <w:szCs w:val="1"/>
                <w:color w:val="auto"/>
              </w:rPr>
            </w:pPr>
          </w:p>
        </w:tc>
      </w:tr>
      <w:tr>
        <w:trPr>
          <w:trHeight w:val="100"/>
        </w:trPr>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4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200,000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11,529</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12,194,291</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12,405,820</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2,937,491</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2,937,491</w:t>
            </w:r>
          </w:p>
        </w:tc>
        <w:tc>
          <w:tcPr>
            <w:tcW w:w="0" w:type="dxa"/>
            <w:vAlign w:val="bottom"/>
          </w:tcPr>
          <w:p>
            <w:pPr>
              <w:spacing w:after="0"/>
              <w:rPr>
                <w:sz w:val="1"/>
                <w:szCs w:val="1"/>
                <w:color w:val="auto"/>
              </w:rPr>
            </w:pPr>
          </w:p>
        </w:tc>
      </w:tr>
      <w:tr>
        <w:trPr>
          <w:trHeight w:val="233"/>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Janine Pelosi</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187,500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14,197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8,500,900</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8,702,597</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34,713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34,713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2" w:lineRule="exact"/>
        <w:rPr>
          <w:sz w:val="20"/>
          <w:szCs w:val="20"/>
          <w:color w:val="auto"/>
        </w:rPr>
      </w:pPr>
    </w:p>
    <w:p>
      <w:pPr>
        <w:jc w:val="both"/>
        <w:ind w:left="340" w:hanging="332"/>
        <w:spacing w:after="0" w:line="249"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“involuntary termination” means a termination without cause or a resignation for good reason and other than due to death or disability. An involuntary termination that occurs within the twelve months following a change in control is considered occurring “in connection with” such change in control for purposes of each of the named executive officer’s severance benefits listed above.</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six months of the named executive officer's annual base salary.</w:t>
      </w:r>
    </w:p>
    <w:p>
      <w:pPr>
        <w:spacing w:after="0" w:line="9" w:lineRule="exact"/>
        <w:rPr>
          <w:rFonts w:ascii="Arial" w:cs="Arial" w:eastAsia="Arial" w:hAnsi="Arial"/>
          <w:sz w:val="18"/>
          <w:szCs w:val="18"/>
          <w:color w:val="auto"/>
        </w:rPr>
      </w:pPr>
    </w:p>
    <w:p>
      <w:pPr>
        <w:ind w:left="340" w:hanging="332"/>
        <w:spacing w:after="0" w:line="265" w:lineRule="auto"/>
        <w:tabs>
          <w:tab w:leader="none" w:pos="3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value of stock option and RSU award vesting acceleration is based on the closing price of $154.28 per share of our Class A common stock as of January 31, 2022, minus, in the case of stock options, the exercise price of the unvested stock option shares subject to acceleration.</w:t>
      </w:r>
    </w:p>
    <w:p>
      <w:pPr>
        <w:jc w:val="both"/>
        <w:ind w:left="340" w:hanging="332"/>
        <w:spacing w:after="0" w:line="265" w:lineRule="auto"/>
        <w:tabs>
          <w:tab w:leader="none" w:pos="3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named executive officers do not terminate employment prior to such corporate transaction. For a description of the potential vesting acceleration provisions in the 2019 Plan, see “Equity Plans – 2019 Equity Incentive Plan” below.</w:t>
      </w:r>
    </w:p>
    <w:p>
      <w:pPr>
        <w:ind w:left="340" w:right="20" w:hanging="332"/>
        <w:spacing w:after="0" w:line="260"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benefits represent full equity acceleration of all RSU awards upon death or disability of a named executive officer, pursuant to the terms of the RSU agreements provided to named executive officers under the 2019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333333"/>
        </w:rPr>
        <w:t>In accordance with SEC rules, we are reporting our CEO pay ratio for the first time. As set forth in the Summary Compensation Table, our CEO’s annual total compensation for fiscal 2022 was $</w:t>
      </w:r>
      <w:r>
        <w:rPr>
          <w:rFonts w:ascii="Arial" w:cs="Arial" w:eastAsia="Arial" w:hAnsi="Arial"/>
          <w:sz w:val="18"/>
          <w:szCs w:val="18"/>
          <w:color w:val="000000"/>
        </w:rPr>
        <w:t>1,115,089</w:t>
      </w:r>
      <w:r>
        <w:rPr>
          <w:rFonts w:ascii="Arial" w:cs="Arial" w:eastAsia="Arial" w:hAnsi="Arial"/>
          <w:sz w:val="18"/>
          <w:szCs w:val="18"/>
          <w:color w:val="333333"/>
        </w:rPr>
        <w:t>. The median of the annual total compensation of all of our employees (except for our CEO) for fiscal 2022 was $188,261, resulting in a CEO to median employee pay ratio of approximately 6:1.</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333333"/>
        </w:rPr>
        <w:t>Our pay ratio is a reasonable estimate calculated in a manner consistent with SEC rules. The SEC’s regulations for identifying the median employee, calculating annual total compensation and determining the pay ratio allow companies to use different methodologies, exemptions, estimates and assumptions. Therefore, our pay ratio disclosure may not be comparable to that reported by other companies, as other companies not only have different employee populations and compensation practices but also may utilize different methodologies, exclusions, estimates, and assumptions in calculating their own pay ratios.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333333"/>
        </w:rPr>
        <w:t>To identify the median of the annual total compensation of all our employees, the methodology and the material assumptions, adjustments and estimates that we used were as follows:</w:t>
      </w:r>
    </w:p>
    <w:p>
      <w:pPr>
        <w:spacing w:after="0" w:line="198" w:lineRule="exact"/>
        <w:rPr>
          <w:sz w:val="20"/>
          <w:szCs w:val="20"/>
          <w:color w:val="auto"/>
        </w:rPr>
      </w:pPr>
    </w:p>
    <w:p>
      <w:pPr>
        <w:jc w:val="both"/>
        <w:ind w:left="1300" w:hanging="320"/>
        <w:spacing w:after="0" w:line="248" w:lineRule="auto"/>
        <w:tabs>
          <w:tab w:leader="none" w:pos="1295" w:val="left"/>
        </w:tabs>
        <w:numPr>
          <w:ilvl w:val="0"/>
          <w:numId w:val="46"/>
        </w:numPr>
        <w:rPr>
          <w:rFonts w:ascii="Arial" w:cs="Arial" w:eastAsia="Arial" w:hAnsi="Arial"/>
          <w:sz w:val="18"/>
          <w:szCs w:val="18"/>
          <w:color w:val="333333"/>
        </w:rPr>
      </w:pPr>
      <w:r>
        <w:rPr>
          <w:rFonts w:ascii="Arial" w:cs="Arial" w:eastAsia="Arial" w:hAnsi="Arial"/>
          <w:sz w:val="18"/>
          <w:szCs w:val="18"/>
          <w:color w:val="333333"/>
        </w:rPr>
        <w:t>We examined the compensation of all of our full-time and part-time employees (other than our CEO) as of November 1, 2021 including individuals employed through a third-party provider. We did not include any independent contractors or contingent workers in our employee population for purposes of this determination.</w:t>
      </w:r>
    </w:p>
    <w:p>
      <w:pPr>
        <w:spacing w:after="0" w:line="208" w:lineRule="exact"/>
        <w:rPr>
          <w:rFonts w:ascii="Arial" w:cs="Arial" w:eastAsia="Arial" w:hAnsi="Arial"/>
          <w:sz w:val="18"/>
          <w:szCs w:val="18"/>
          <w:color w:val="333333"/>
        </w:rPr>
      </w:pPr>
    </w:p>
    <w:p>
      <w:pPr>
        <w:jc w:val="both"/>
        <w:ind w:left="1300" w:hanging="320"/>
        <w:spacing w:after="0" w:line="284" w:lineRule="auto"/>
        <w:tabs>
          <w:tab w:leader="none" w:pos="1295" w:val="left"/>
        </w:tabs>
        <w:numPr>
          <w:ilvl w:val="0"/>
          <w:numId w:val="46"/>
        </w:numPr>
        <w:rPr>
          <w:rFonts w:ascii="Arial" w:cs="Arial" w:eastAsia="Arial" w:hAnsi="Arial"/>
          <w:sz w:val="16"/>
          <w:szCs w:val="16"/>
          <w:color w:val="333333"/>
        </w:rPr>
      </w:pPr>
      <w:r>
        <w:rPr>
          <w:rFonts w:ascii="Arial" w:cs="Arial" w:eastAsia="Arial" w:hAnsi="Arial"/>
          <w:sz w:val="16"/>
          <w:szCs w:val="16"/>
          <w:color w:val="333333"/>
        </w:rPr>
        <w:t>To identify our median employee, we utilized a consistently applied compensation measure consisting of base salary paid, bonus or commission payments made and the grant date fair value, calculated in accordance with ASC 718, of equity awards granted, in each case during the period from February 1, 2021 through November 1, 2021. We selected this compensation measure as it captures the principal forms of compensation delivered to our employees and this information is readily available with respect to our employees.</w:t>
      </w:r>
    </w:p>
    <w:p>
      <w:pPr>
        <w:spacing w:after="0" w:line="182" w:lineRule="exact"/>
        <w:rPr>
          <w:rFonts w:ascii="Arial" w:cs="Arial" w:eastAsia="Arial" w:hAnsi="Arial"/>
          <w:sz w:val="16"/>
          <w:szCs w:val="16"/>
          <w:color w:val="333333"/>
        </w:rPr>
      </w:pPr>
    </w:p>
    <w:p>
      <w:pPr>
        <w:ind w:left="1300" w:hanging="320"/>
        <w:spacing w:after="0" w:line="261" w:lineRule="auto"/>
        <w:tabs>
          <w:tab w:leader="none" w:pos="1295" w:val="left"/>
        </w:tabs>
        <w:numPr>
          <w:ilvl w:val="0"/>
          <w:numId w:val="46"/>
        </w:numPr>
        <w:rPr>
          <w:rFonts w:ascii="Arial" w:cs="Arial" w:eastAsia="Arial" w:hAnsi="Arial"/>
          <w:sz w:val="18"/>
          <w:szCs w:val="18"/>
          <w:color w:val="333333"/>
        </w:rPr>
      </w:pPr>
      <w:r>
        <w:rPr>
          <w:rFonts w:ascii="Arial" w:cs="Arial" w:eastAsia="Arial" w:hAnsi="Arial"/>
          <w:sz w:val="18"/>
          <w:szCs w:val="18"/>
          <w:color w:val="333333"/>
        </w:rPr>
        <w:t>We annualized the base salary and commission payments for employees who were employed for less than the full fiscal year and then pro-rated these amounts to reflect the period from February 1, 2021 through November 1, 2021.</w:t>
      </w:r>
    </w:p>
    <w:p>
      <w:pPr>
        <w:spacing w:after="0" w:line="197" w:lineRule="exact"/>
        <w:rPr>
          <w:rFonts w:ascii="Arial" w:cs="Arial" w:eastAsia="Arial" w:hAnsi="Arial"/>
          <w:sz w:val="18"/>
          <w:szCs w:val="18"/>
          <w:color w:val="333333"/>
        </w:rPr>
      </w:pPr>
    </w:p>
    <w:p>
      <w:pPr>
        <w:ind w:left="1300" w:hanging="320"/>
        <w:spacing w:after="0" w:line="291" w:lineRule="auto"/>
        <w:tabs>
          <w:tab w:leader="none" w:pos="1295" w:val="left"/>
        </w:tabs>
        <w:numPr>
          <w:ilvl w:val="0"/>
          <w:numId w:val="46"/>
        </w:numPr>
        <w:rPr>
          <w:rFonts w:ascii="Arial" w:cs="Arial" w:eastAsia="Arial" w:hAnsi="Arial"/>
          <w:sz w:val="17"/>
          <w:szCs w:val="17"/>
          <w:color w:val="333333"/>
        </w:rPr>
      </w:pPr>
      <w:r>
        <w:rPr>
          <w:rFonts w:ascii="Arial" w:cs="Arial" w:eastAsia="Arial" w:hAnsi="Arial"/>
          <w:sz w:val="17"/>
          <w:szCs w:val="17"/>
          <w:color w:val="333333"/>
        </w:rPr>
        <w:t>For employees paid other than in U.S. dollars, we converted their compensation to U.S. dollars using foreign exchange rates in effect as of November 1, 2021. We did not make any cost-of-living adjustments for employees outside of the United States.</w:t>
      </w:r>
    </w:p>
    <w:p>
      <w:pPr>
        <w:spacing w:after="0" w:line="160"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333333"/>
        </w:rPr>
        <w:t>After applying the methodology described above, we determined the identity of our median employee for fiscal 2022 and then calculated that employee’s annual total compensation in accordance with the requirements of Item 402(c)(2)(x)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currently grant equity awards under our 2019 Plan, which was approved by our Board of Directors and stockholders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and became effective in connection with our initial public offering in April 2019. Our 2019 Plan is a successor to and continuation of our 2011 Plan, described below, and provides for the grant of ISOs to employees, including employees of any parent or subsidiary, and for the grant of NSOs, stock appreciation rights, restricted stock awards, restricted stock unit awards, performance awards and other forms of awards to employees, directors and consultants, including employees and consultants of our affiliates.</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Board of Directors, or a duly authorized committee of our Board of Directors, administers our 2019 Plan and is referred to as the “plan administrator” herein. Under our 2019 Plan, our Board of Directors has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7"/>
          <w:szCs w:val="17"/>
          <w:color w:val="auto"/>
        </w:rPr>
        <w:t>authority to determine award recipients, grant dates, the numbers and types of stock awards to be granted, the applicable fair market value, and the provisions of each stock award, including the period of exercisability and the vesting schedule applicable to a stock award.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are granted under stock option agreements adopted by the plan administrator. The plan administrator determines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determined by the plan administrator and can have a term up to a maximum of 10 years. Unless the terms of an optionholder’s stock option agreement provide otherwise,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(in the case of death) or 12 months (in the case of disability) following the cessation of service. In the event of a termination for cause, options generally terminate upon the termination date. In no event may an option be exercised beyond the expiration of its term.</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20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holdback, earn out or similar provisions in the definitive agreement for the corporate transaction may apply to such payment to the same extent and in the same manner as such provisions apply to the holders of Class A common stock.</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Awards granted under the 2019 Plan may be subject to acceleration of vesting and exercisability upon or after a change in control (as defined in the 2019 Plan) as may be provided in the applicable stock award agreement or in any other written agreement between us or any affiliate and the participant, but in the absence of such provision, no such acceleration will automatically occur.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2011 Plan was approved by our Board of Directors and stockholders and originally became effective in 2011. We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restricted shares under our 2011 Plan prior to our initial public offering and upon the effectiveness of our 2019 Plan, we can no longer grant awards under our 2011 Plan.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Board of Directors administers and interprets the provisions of the 2011 Plan. The Board of Directors may delegate its authority to a committee of the Board and has delegated authority to the Compensation Committee of the Board, referred to as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 In addition,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are granted under share option agreements and option rules adopted by the plan administrator.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determined by the plan administrator and can have a term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Restricted shares may be awarded in consideration for cash or cash equivalents or another form of consideration, including past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55" w:name="page56"/>
    <w:bookmarkEnd w:id="55"/>
    <w:p>
      <w:pPr>
        <w:spacing w:after="0" w:line="261" w:lineRule="auto"/>
        <w:rPr>
          <w:sz w:val="20"/>
          <w:szCs w:val="20"/>
          <w:color w:val="auto"/>
        </w:rPr>
      </w:pPr>
      <w:r>
        <w:rPr>
          <w:rFonts w:ascii="Arial" w:cs="Arial" w:eastAsia="Arial" w:hAnsi="Arial"/>
          <w:sz w:val="18"/>
          <w:szCs w:val="18"/>
          <w:color w:val="auto"/>
        </w:rPr>
        <w:t>are generally subject to our right to repurchase such shares upon the holder’s termination of service with us for any reason, at the lesser of the price paid for such shares or the then-current fair market value.</w:t>
      </w:r>
    </w:p>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197" w:lineRule="exact"/>
        <w:rPr>
          <w:sz w:val="20"/>
          <w:szCs w:val="20"/>
          <w:color w:val="auto"/>
        </w:rPr>
      </w:pPr>
    </w:p>
    <w:p>
      <w:pPr>
        <w:ind w:left="1300" w:hanging="527"/>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238" w:lineRule="exact"/>
        <w:rPr>
          <w:rFonts w:ascii="Arial" w:cs="Arial" w:eastAsia="Arial" w:hAnsi="Arial"/>
          <w:sz w:val="18"/>
          <w:szCs w:val="18"/>
          <w:color w:val="auto"/>
        </w:rPr>
      </w:pPr>
    </w:p>
    <w:p>
      <w:pPr>
        <w:ind w:left="660" w:firstLine="113"/>
        <w:spacing w:after="0" w:line="261" w:lineRule="auto"/>
        <w:tabs>
          <w:tab w:leader="none" w:pos="12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197"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208"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208" w:lineRule="exact"/>
        <w:rPr>
          <w:rFonts w:ascii="Arial" w:cs="Arial" w:eastAsia="Arial" w:hAnsi="Arial"/>
          <w:sz w:val="18"/>
          <w:szCs w:val="18"/>
          <w:color w:val="auto"/>
        </w:rPr>
      </w:pPr>
    </w:p>
    <w:p>
      <w:pPr>
        <w:ind w:left="1300" w:hanging="527"/>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Board of Directors adopted, and our stockholders approved, our ESPP and the ESPP became effective in connection with our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in April 2019.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 Our Board of Directors administers the ESPP and may delegate its authority to administer the ESPP to our Compensation 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21" w:right="339" w:bottom="1440" w:gutter="0" w:footer="0" w:header="0"/>
        </w:sectPr>
      </w:pPr>
    </w:p>
    <w:bookmarkStart w:id="57" w:name="page58"/>
    <w:bookmarkEnd w:id="57"/>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January 31, 2022. Information is included for equity compensation plans approved by our stockholders. We do not have any equity compensation plans not approved by our stockholders.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1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Class of Common</w:t>
            </w:r>
          </w:p>
        </w:tc>
        <w:tc>
          <w:tcPr>
            <w:tcW w:w="0" w:type="dxa"/>
            <w:vAlign w:val="bottom"/>
          </w:tcPr>
          <w:p>
            <w:pPr>
              <w:spacing w:after="0"/>
              <w:rPr>
                <w:sz w:val="1"/>
                <w:szCs w:val="1"/>
                <w:color w:val="auto"/>
              </w:rPr>
            </w:pPr>
          </w:p>
        </w:tc>
      </w:tr>
      <w:tr>
        <w:trPr>
          <w:trHeight w:val="210"/>
        </w:trPr>
        <w:tc>
          <w:tcPr>
            <w:tcW w:w="1940" w:type="dxa"/>
            <w:vAlign w:val="bottom"/>
            <w:gridSpan w:val="2"/>
            <w:vMerge w:val="continue"/>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100"/>
        </w:trPr>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40" w:type="dxa"/>
            <w:vAlign w:val="bottom"/>
            <w:gridSpan w:val="2"/>
          </w:tcPr>
          <w:p>
            <w:pPr>
              <w:ind w:left="20"/>
              <w:spacing w:after="0" w:line="169" w:lineRule="exact"/>
              <w:rPr>
                <w:sz w:val="20"/>
                <w:szCs w:val="20"/>
                <w:color w:val="auto"/>
              </w:rPr>
            </w:pPr>
            <w:r>
              <w:rPr>
                <w:rFonts w:ascii="Arial" w:cs="Arial" w:eastAsia="Arial" w:hAnsi="Arial"/>
                <w:sz w:val="16"/>
                <w:szCs w:val="16"/>
                <w:color w:val="auto"/>
                <w:w w:val="99"/>
              </w:rPr>
              <w:t>Equity compensation plans</w:t>
            </w:r>
          </w:p>
        </w:tc>
        <w:tc>
          <w:tcPr>
            <w:tcW w:w="1540" w:type="dxa"/>
            <w:vAlign w:val="bottom"/>
          </w:tcPr>
          <w:p>
            <w:pPr>
              <w:jc w:val="center"/>
              <w:spacing w:after="0" w:line="169" w:lineRule="exact"/>
              <w:rPr>
                <w:sz w:val="20"/>
                <w:szCs w:val="20"/>
                <w:color w:val="auto"/>
              </w:rPr>
            </w:pPr>
            <w:r>
              <w:rPr>
                <w:rFonts w:ascii="Arial" w:cs="Arial" w:eastAsia="Arial" w:hAnsi="Arial"/>
                <w:sz w:val="15"/>
                <w:szCs w:val="15"/>
                <w:color w:val="auto"/>
                <w:w w:val="92"/>
              </w:rPr>
              <w:t>Class A</w:t>
            </w:r>
            <w:r>
              <w:rPr>
                <w:rFonts w:ascii="Arial" w:cs="Arial" w:eastAsia="Arial" w:hAnsi="Arial"/>
                <w:sz w:val="19"/>
                <w:szCs w:val="19"/>
                <w:color w:val="auto"/>
                <w:w w:val="92"/>
                <w:vertAlign w:val="superscript"/>
              </w:rPr>
              <w:t>(2)</w:t>
            </w:r>
          </w:p>
        </w:tc>
        <w:tc>
          <w:tcPr>
            <w:tcW w:w="0" w:type="dxa"/>
            <w:vAlign w:val="bottom"/>
          </w:tcPr>
          <w:p>
            <w:pPr>
              <w:spacing w:after="0"/>
              <w:rPr>
                <w:sz w:val="1"/>
                <w:szCs w:val="1"/>
                <w:color w:val="auto"/>
              </w:rPr>
            </w:pPr>
          </w:p>
        </w:tc>
      </w:tr>
      <w:tr>
        <w:trPr>
          <w:trHeight w:val="152"/>
        </w:trPr>
        <w:tc>
          <w:tcPr>
            <w:tcW w:w="194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approved by security</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holders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21"/>
                <w:szCs w:val="21"/>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(b)</w:t>
            </w:r>
          </w:p>
        </w:tc>
        <w:tc>
          <w:tcPr>
            <w:tcW w:w="0" w:type="dxa"/>
            <w:vAlign w:val="bottom"/>
          </w:tcPr>
          <w:p>
            <w:pPr>
              <w:spacing w:after="0"/>
              <w:rPr>
                <w:sz w:val="1"/>
                <w:szCs w:val="1"/>
                <w:color w:val="auto"/>
              </w:rPr>
            </w:pPr>
          </w:p>
        </w:tc>
      </w:tr>
      <w:tr>
        <w:trPr>
          <w:trHeight w:val="168"/>
        </w:trPr>
        <w:tc>
          <w:tcPr>
            <w:tcW w:w="1680" w:type="dxa"/>
            <w:vAlign w:val="bottom"/>
            <w:gridSpan w:val="2"/>
          </w:tcPr>
          <w:p>
            <w:pPr>
              <w:jc w:val="center"/>
              <w:ind w:right="120"/>
              <w:spacing w:after="0" w:line="168" w:lineRule="exact"/>
              <w:rPr>
                <w:sz w:val="20"/>
                <w:szCs w:val="20"/>
                <w:color w:val="auto"/>
              </w:rPr>
            </w:pPr>
            <w:r>
              <w:rPr>
                <w:rFonts w:ascii="Arial" w:cs="Arial" w:eastAsia="Arial" w:hAnsi="Arial"/>
                <w:sz w:val="16"/>
                <w:szCs w:val="16"/>
                <w:b w:val="1"/>
                <w:bCs w:val="1"/>
                <w:color w:val="auto"/>
                <w:w w:val="91"/>
              </w:rPr>
              <w:t>Number of Securities</w:t>
            </w:r>
          </w:p>
        </w:tc>
        <w:tc>
          <w:tcPr>
            <w:tcW w:w="140" w:type="dxa"/>
            <w:vAlign w:val="bottom"/>
          </w:tcPr>
          <w:p>
            <w:pPr>
              <w:spacing w:after="0"/>
              <w:rPr>
                <w:sz w:val="14"/>
                <w:szCs w:val="14"/>
                <w:color w:val="auto"/>
              </w:rPr>
            </w:pPr>
          </w:p>
        </w:tc>
        <w:tc>
          <w:tcPr>
            <w:tcW w:w="15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94"/>
        </w:trPr>
        <w:tc>
          <w:tcPr>
            <w:tcW w:w="16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to be Issued Upon</w:t>
            </w:r>
          </w:p>
        </w:tc>
        <w:tc>
          <w:tcPr>
            <w:tcW w:w="1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Exercise Price of</w:t>
            </w:r>
          </w:p>
        </w:tc>
        <w:tc>
          <w:tcPr>
            <w:tcW w:w="0" w:type="dxa"/>
            <w:vAlign w:val="bottom"/>
          </w:tcPr>
          <w:p>
            <w:pPr>
              <w:spacing w:after="0"/>
              <w:rPr>
                <w:sz w:val="1"/>
                <w:szCs w:val="1"/>
                <w:color w:val="auto"/>
              </w:rPr>
            </w:pPr>
          </w:p>
        </w:tc>
      </w:tr>
      <w:tr>
        <w:trPr>
          <w:trHeight w:val="121"/>
        </w:trPr>
        <w:tc>
          <w:tcPr>
            <w:tcW w:w="16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 of</w:t>
            </w:r>
          </w:p>
        </w:tc>
        <w:tc>
          <w:tcPr>
            <w:tcW w:w="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80" w:type="dxa"/>
            <w:vAlign w:val="bottom"/>
            <w:gridSpan w:val="2"/>
            <w:vMerge w:val="continue"/>
          </w:tcPr>
          <w:p>
            <w:pPr>
              <w:spacing w:after="0"/>
              <w:rPr>
                <w:sz w:val="3"/>
                <w:szCs w:val="3"/>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Outstanding Options,</w:t>
            </w:r>
          </w:p>
        </w:tc>
        <w:tc>
          <w:tcPr>
            <w:tcW w:w="0" w:type="dxa"/>
            <w:vAlign w:val="bottom"/>
          </w:tcPr>
          <w:p>
            <w:pPr>
              <w:spacing w:after="0"/>
              <w:rPr>
                <w:sz w:val="1"/>
                <w:szCs w:val="1"/>
                <w:color w:val="auto"/>
              </w:rPr>
            </w:pPr>
          </w:p>
        </w:tc>
      </w:tr>
      <w:tr>
        <w:trPr>
          <w:trHeight w:val="162"/>
        </w:trPr>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Outstanding Options,</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Warrants and Rights</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Warrants and Rights</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560" w:type="dxa"/>
            <w:vAlign w:val="bottom"/>
          </w:tcPr>
          <w:p>
            <w:pPr>
              <w:jc w:val="right"/>
              <w:spacing w:after="0"/>
              <w:rPr>
                <w:sz w:val="20"/>
                <w:szCs w:val="20"/>
                <w:color w:val="auto"/>
              </w:rPr>
            </w:pPr>
            <w:r>
              <w:rPr>
                <w:rFonts w:ascii="Arial" w:cs="Arial" w:eastAsia="Arial" w:hAnsi="Arial"/>
                <w:sz w:val="16"/>
                <w:szCs w:val="16"/>
                <w:color w:val="auto"/>
              </w:rPr>
              <w:t>248,014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-141605</wp:posOffset>
            </wp:positionV>
            <wp:extent cx="548640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(c)</w:t>
      </w:r>
    </w:p>
    <w:p>
      <w:pPr>
        <w:spacing w:after="0" w:line="73"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Number of Securities</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5"/>
          <w:szCs w:val="15"/>
          <w:b w:val="1"/>
          <w:bCs w:val="1"/>
          <w:color w:val="auto"/>
        </w:rPr>
        <w:t>Remaining Available</w:t>
      </w:r>
    </w:p>
    <w:p>
      <w:pPr>
        <w:jc w:val="center"/>
        <w:ind w:right="1360"/>
        <w:spacing w:after="0" w:line="225" w:lineRule="auto"/>
        <w:rPr>
          <w:sz w:val="20"/>
          <w:szCs w:val="20"/>
          <w:color w:val="auto"/>
        </w:rPr>
      </w:pPr>
      <w:r>
        <w:rPr>
          <w:rFonts w:ascii="Arial" w:cs="Arial" w:eastAsia="Arial" w:hAnsi="Arial"/>
          <w:sz w:val="15"/>
          <w:szCs w:val="15"/>
          <w:b w:val="1"/>
          <w:bCs w:val="1"/>
          <w:color w:val="auto"/>
        </w:rPr>
        <w:t>for Future Issuance</w:t>
      </w:r>
    </w:p>
    <w:p>
      <w:pPr>
        <w:jc w:val="center"/>
        <w:ind w:right="1360"/>
        <w:spacing w:after="0" w:line="211" w:lineRule="auto"/>
        <w:rPr>
          <w:sz w:val="20"/>
          <w:szCs w:val="20"/>
          <w:color w:val="auto"/>
        </w:rPr>
      </w:pPr>
      <w:r>
        <w:rPr>
          <w:rFonts w:ascii="Arial" w:cs="Arial" w:eastAsia="Arial" w:hAnsi="Arial"/>
          <w:sz w:val="16"/>
          <w:szCs w:val="16"/>
          <w:b w:val="1"/>
          <w:bCs w:val="1"/>
          <w:color w:val="auto"/>
        </w:rPr>
        <w:t>Under Equity</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Compensation Plans</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(Excluding Securities</w:t>
      </w:r>
    </w:p>
    <w:p>
      <w:pPr>
        <w:jc w:val="center"/>
        <w:ind w:right="1360"/>
        <w:spacing w:after="0" w:line="226" w:lineRule="auto"/>
        <w:rPr>
          <w:sz w:val="20"/>
          <w:szCs w:val="20"/>
          <w:color w:val="auto"/>
        </w:rPr>
      </w:pPr>
      <w:r>
        <w:rPr>
          <w:rFonts w:ascii="Arial" w:cs="Arial" w:eastAsia="Arial" w:hAnsi="Arial"/>
          <w:sz w:val="15"/>
          <w:szCs w:val="15"/>
          <w:b w:val="1"/>
          <w:bCs w:val="1"/>
          <w:color w:val="auto"/>
        </w:rPr>
        <w:t>Reflected in Column</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(a))</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69,091,284</w:t>
      </w:r>
    </w:p>
    <w:p>
      <w:pPr>
        <w:spacing w:after="0" w:line="473" w:lineRule="exact"/>
        <w:rPr>
          <w:sz w:val="20"/>
          <w:szCs w:val="20"/>
          <w:color w:val="auto"/>
        </w:rPr>
      </w:pPr>
    </w:p>
    <w:p>
      <w:pPr>
        <w:sectPr>
          <w:pgSz w:w="11900" w:h="16838" w:orient="portrait"/>
          <w:cols w:equalWidth="0" w:num="3">
            <w:col w:w="4780" w:space="120"/>
            <w:col w:w="3320" w:space="180"/>
            <w:col w:w="2840"/>
          </w:cols>
          <w:pgMar w:left="320" w:top="1440" w:right="339" w:bottom="1440" w:gutter="0" w:footer="0" w:header="0"/>
          <w:type w:val="continuous"/>
        </w:sectPr>
      </w:pPr>
    </w:p>
    <w:tbl>
      <w:tblPr>
        <w:tblLayout w:type="fixed"/>
        <w:tblInd w:w="1300" w:type="dxa"/>
        <w:tblCellMar>
          <w:top w:w="0" w:type="dxa"/>
          <w:left w:w="0" w:type="dxa"/>
          <w:bottom w:w="0" w:type="dxa"/>
          <w:right w:w="0" w:type="dxa"/>
        </w:tblCellMar>
      </w:tblPr>
      <w:tr>
        <w:trPr>
          <w:trHeight w:val="289"/>
        </w:trPr>
        <w:tc>
          <w:tcPr>
            <w:tcW w:w="1920" w:type="dxa"/>
            <w:vAlign w:val="bottom"/>
          </w:tcPr>
          <w:p>
            <w:pPr>
              <w:spacing w:after="0"/>
              <w:rPr>
                <w:sz w:val="24"/>
                <w:szCs w:val="24"/>
                <w:color w:val="auto"/>
              </w:rPr>
            </w:pPr>
          </w:p>
        </w:tc>
        <w:tc>
          <w:tcPr>
            <w:tcW w:w="1980" w:type="dxa"/>
            <w:vAlign w:val="bottom"/>
          </w:tcPr>
          <w:p>
            <w:pPr>
              <w:jc w:val="center"/>
              <w:ind w:right="319"/>
              <w:spacing w:after="0"/>
              <w:rPr>
                <w:sz w:val="20"/>
                <w:szCs w:val="20"/>
                <w:color w:val="auto"/>
              </w:rPr>
            </w:pPr>
            <w:r>
              <w:rPr>
                <w:rFonts w:ascii="Arial" w:cs="Arial" w:eastAsia="Arial" w:hAnsi="Arial"/>
                <w:sz w:val="16"/>
                <w:szCs w:val="16"/>
                <w:color w:val="auto"/>
                <w:w w:val="85"/>
              </w:rPr>
              <w:t>Class B</w:t>
            </w:r>
            <w:r>
              <w:rPr>
                <w:rFonts w:ascii="Arial" w:cs="Arial" w:eastAsia="Arial" w:hAnsi="Arial"/>
                <w:sz w:val="21"/>
                <w:szCs w:val="21"/>
                <w:color w:val="auto"/>
                <w:w w:val="85"/>
                <w:vertAlign w:val="superscript"/>
              </w:rPr>
              <w:t>(3)</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5,947,191</w:t>
            </w:r>
          </w:p>
        </w:tc>
        <w:tc>
          <w:tcPr>
            <w:tcW w:w="7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5.56</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
        </w:trPr>
        <w:tc>
          <w:tcPr>
            <w:tcW w:w="19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66"/>
        </w:trPr>
        <w:tc>
          <w:tcPr>
            <w:tcW w:w="19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Equity compensation plans</w:t>
            </w:r>
          </w:p>
        </w:tc>
        <w:tc>
          <w:tcPr>
            <w:tcW w:w="19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9"/>
              <w:spacing w:after="0" w:line="16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419"/>
              <w:spacing w:after="0" w:line="166"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not approved by security</w:t>
            </w:r>
          </w:p>
        </w:tc>
        <w:tc>
          <w:tcPr>
            <w:tcW w:w="19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6"/>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holders</w:t>
            </w:r>
          </w:p>
        </w:tc>
        <w:tc>
          <w:tcPr>
            <w:tcW w:w="19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00"/>
        </w:trPr>
        <w:tc>
          <w:tcPr>
            <w:tcW w:w="19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6"/>
                <w:szCs w:val="16"/>
                <w:color w:val="auto"/>
              </w:rPr>
              <w:t>TOTAL</w:t>
            </w:r>
          </w:p>
        </w:tc>
        <w:tc>
          <w:tcPr>
            <w:tcW w:w="1980" w:type="dxa"/>
            <w:vAlign w:val="bottom"/>
          </w:tcPr>
          <w:p>
            <w:pPr>
              <w:jc w:val="center"/>
              <w:ind w:right="319"/>
              <w:spacing w:after="0"/>
              <w:rPr>
                <w:sz w:val="20"/>
                <w:szCs w:val="20"/>
                <w:color w:val="auto"/>
              </w:rPr>
            </w:pPr>
            <w:r>
              <w:rPr>
                <w:rFonts w:ascii="Arial" w:cs="Arial" w:eastAsia="Arial" w:hAnsi="Arial"/>
                <w:sz w:val="16"/>
                <w:szCs w:val="16"/>
                <w:color w:val="auto"/>
                <w:w w:val="91"/>
              </w:rPr>
              <w:t>Class A and Class B</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6,195,205</w:t>
            </w:r>
          </w:p>
        </w:tc>
        <w:tc>
          <w:tcPr>
            <w:tcW w:w="760" w:type="dxa"/>
            <w:vAlign w:val="bottom"/>
          </w:tcPr>
          <w:p>
            <w:pPr>
              <w:spacing w:after="0"/>
              <w:rPr>
                <w:sz w:val="18"/>
                <w:szCs w:val="18"/>
                <w:color w:val="auto"/>
              </w:rPr>
            </w:pP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69,091,284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40" w:hanging="332"/>
        <w:spacing w:after="0" w:line="249"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weighted average exercise price is calculated based solely on outstanding stock options. It does not take into account the shares of our common stock underlying restricted stock units, which have no exercise price.</w:t>
      </w:r>
    </w:p>
    <w:p>
      <w:pPr>
        <w:jc w:val="both"/>
        <w:ind w:left="340" w:hanging="332"/>
        <w:spacing w:after="0" w:line="265" w:lineRule="auto"/>
        <w:tabs>
          <w:tab w:leader="none" w:pos="33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2022, the number of shares of Class A common stock available for issuance under our 2019 Plan and our ESPP increased by 14,951,890 shares and 2,990,378 shares, respectively, pursuant to these provisions. These increases are not reflected in the table above.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following plan: Fourth Amended and Restated 2011 Global Share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2022, for:</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w:t>
      </w:r>
    </w:p>
    <w:p>
      <w:pPr>
        <w:spacing w:after="0" w:line="23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percentage ownership of our capital stock on 252,466,612 shares of our Class A common stock and 46,691,588 shares of our Class B common stock outstanding on March 31, 2022. We have deemed shares of our common stock subject to options that are currently exercisable or exercisable within 60 days of March 31, 2022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ind w:firstLine="648"/>
        <w:spacing w:after="0" w:line="279"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125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6"/>
          <w:szCs w:val="16"/>
          <w:b w:val="1"/>
          <w:bCs w:val="1"/>
          <w:i w:val="1"/>
          <w:iCs w:val="1"/>
          <w:color w:val="auto"/>
        </w:rPr>
        <w:t>5% Stockholders</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Bin Yuan and Cathy Z. Wang</w:t>
      </w:r>
    </w:p>
    <w:p>
      <w:pPr>
        <w:ind w:left="1440"/>
        <w:spacing w:after="0" w:line="234" w:lineRule="auto"/>
        <w:rPr>
          <w:sz w:val="20"/>
          <w:szCs w:val="20"/>
          <w:color w:val="auto"/>
        </w:rPr>
      </w:pPr>
      <w:r>
        <w:rPr>
          <w:rFonts w:ascii="Arial" w:cs="Arial" w:eastAsia="Arial" w:hAnsi="Arial"/>
          <w:sz w:val="11"/>
          <w:szCs w:val="11"/>
          <w:color w:val="auto"/>
        </w:rPr>
        <w:t>(1)</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Li Ka Shing and affiliates </w:t>
      </w:r>
      <w:r>
        <w:rPr>
          <w:rFonts w:ascii="Arial" w:cs="Arial" w:eastAsia="Arial" w:hAnsi="Arial"/>
          <w:sz w:val="20"/>
          <w:szCs w:val="20"/>
          <w:color w:val="auto"/>
          <w:vertAlign w:val="superscript"/>
        </w:rPr>
        <w:t>(2)</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 Rowe Price Associates,</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Inc..</w:t>
      </w:r>
      <w:r>
        <w:rPr>
          <w:rFonts w:ascii="Arial" w:cs="Arial" w:eastAsia="Arial" w:hAnsi="Arial"/>
          <w:sz w:val="21"/>
          <w:szCs w:val="21"/>
          <w:color w:val="auto"/>
          <w:vertAlign w:val="superscript"/>
        </w:rPr>
        <w:t>(3)</w:t>
      </w:r>
    </w:p>
    <w:p>
      <w:pPr>
        <w:spacing w:after="0" w:line="8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(4)</w:t>
      </w:r>
    </w:p>
    <w:p>
      <w:pPr>
        <w:spacing w:after="0" w:line="2" w:lineRule="exact"/>
        <w:rPr>
          <w:sz w:val="20"/>
          <w:szCs w:val="20"/>
          <w:color w:val="auto"/>
        </w:rPr>
      </w:pPr>
    </w:p>
    <w:p>
      <w:pPr>
        <w:ind w:left="1440"/>
        <w:spacing w:after="0" w:line="253" w:lineRule="auto"/>
        <w:rPr>
          <w:sz w:val="20"/>
          <w:szCs w:val="20"/>
          <w:color w:val="auto"/>
        </w:rPr>
      </w:pPr>
      <w:r>
        <w:rPr>
          <w:rFonts w:ascii="Arial" w:cs="Arial" w:eastAsia="Arial" w:hAnsi="Arial"/>
          <w:sz w:val="14"/>
          <w:szCs w:val="14"/>
          <w:color w:val="auto"/>
        </w:rPr>
        <w:t>Entities affiliated with Emergence Capital Partners</w:t>
      </w:r>
      <w:r>
        <w:rPr>
          <w:rFonts w:ascii="Arial" w:cs="Arial" w:eastAsia="Arial" w:hAnsi="Arial"/>
          <w:sz w:val="18"/>
          <w:szCs w:val="18"/>
          <w:color w:val="auto"/>
          <w:vertAlign w:val="superscript"/>
        </w:rPr>
        <w:t>(5)</w:t>
      </w:r>
    </w:p>
    <w:p>
      <w:pPr>
        <w:ind w:left="1440"/>
        <w:spacing w:after="0" w:line="218" w:lineRule="auto"/>
        <w:rPr>
          <w:sz w:val="20"/>
          <w:szCs w:val="20"/>
          <w:color w:val="auto"/>
        </w:rPr>
      </w:pPr>
      <w:r>
        <w:rPr>
          <w:rFonts w:ascii="Arial" w:cs="Arial" w:eastAsia="Arial" w:hAnsi="Arial"/>
          <w:sz w:val="16"/>
          <w:szCs w:val="16"/>
          <w:color w:val="auto"/>
        </w:rPr>
        <w:t>Puccini World Limited</w:t>
      </w:r>
      <w:r>
        <w:rPr>
          <w:rFonts w:ascii="Arial" w:cs="Arial" w:eastAsia="Arial" w:hAnsi="Arial"/>
          <w:sz w:val="21"/>
          <w:szCs w:val="21"/>
          <w:color w:val="auto"/>
          <w:vertAlign w:val="superscript"/>
        </w:rPr>
        <w:t>(6)</w:t>
      </w:r>
    </w:p>
    <w:p>
      <w:pPr>
        <w:ind w:left="1440"/>
        <w:spacing w:after="0" w:line="231" w:lineRule="auto"/>
        <w:rPr>
          <w:sz w:val="20"/>
          <w:szCs w:val="20"/>
          <w:color w:val="auto"/>
        </w:rPr>
      </w:pPr>
      <w:r>
        <w:rPr>
          <w:rFonts w:ascii="Arial" w:cs="Arial" w:eastAsia="Arial" w:hAnsi="Arial"/>
          <w:sz w:val="16"/>
          <w:szCs w:val="16"/>
          <w:b w:val="1"/>
          <w:bCs w:val="1"/>
          <w:i w:val="1"/>
          <w:iCs w:val="1"/>
          <w:color w:val="auto"/>
        </w:rPr>
        <w:t>Directors and Named Executive Officers</w:t>
      </w: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Eric S. Yuan</w:t>
      </w:r>
      <w:r>
        <w:rPr>
          <w:rFonts w:ascii="Arial" w:cs="Arial" w:eastAsia="Arial" w:hAnsi="Arial"/>
          <w:sz w:val="21"/>
          <w:szCs w:val="21"/>
          <w:color w:val="auto"/>
          <w:vertAlign w:val="superscript"/>
        </w:rPr>
        <w:t>(7)</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(8)</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Carl M. Eschenbach</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(9)</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Kimberly L. Hammonds </w:t>
      </w:r>
      <w:r>
        <w:rPr>
          <w:rFonts w:ascii="Arial" w:cs="Arial" w:eastAsia="Arial" w:hAnsi="Arial"/>
          <w:sz w:val="20"/>
          <w:szCs w:val="20"/>
          <w:color w:val="auto"/>
          <w:vertAlign w:val="superscript"/>
        </w:rPr>
        <w:t>(10)</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William McDermott</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Lieut. Gen. H.R.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560" w:type="dxa"/>
            <w:vAlign w:val="bottom"/>
            <w:gridSpan w:val="4"/>
          </w:tcPr>
          <w:p>
            <w:pPr>
              <w:ind w:left="420"/>
              <w:spacing w:after="0"/>
              <w:rPr>
                <w:sz w:val="20"/>
                <w:szCs w:val="20"/>
                <w:color w:val="auto"/>
              </w:rPr>
            </w:pPr>
            <w:r>
              <w:rPr>
                <w:rFonts w:ascii="Arial" w:cs="Arial" w:eastAsia="Arial" w:hAnsi="Arial"/>
                <w:sz w:val="16"/>
                <w:szCs w:val="16"/>
                <w:b w:val="1"/>
                <w:bCs w:val="1"/>
                <w:color w:val="auto"/>
              </w:rPr>
              <w:t>Class A Common Stock</w:t>
            </w:r>
          </w:p>
        </w:tc>
        <w:tc>
          <w:tcPr>
            <w:tcW w:w="2580" w:type="dxa"/>
            <w:vAlign w:val="bottom"/>
            <w:gridSpan w:val="4"/>
          </w:tcPr>
          <w:p>
            <w:pPr>
              <w:ind w:left="420"/>
              <w:spacing w:after="0"/>
              <w:rPr>
                <w:sz w:val="20"/>
                <w:szCs w:val="20"/>
                <w:color w:val="auto"/>
              </w:rPr>
            </w:pPr>
            <w:r>
              <w:rPr>
                <w:rFonts w:ascii="Arial" w:cs="Arial" w:eastAsia="Arial" w:hAnsi="Arial"/>
                <w:sz w:val="16"/>
                <w:szCs w:val="16"/>
                <w:b w:val="1"/>
                <w:bCs w:val="1"/>
                <w:color w:val="auto"/>
              </w:rPr>
              <w:t>Class B Common Stock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142"/>
        </w:trPr>
        <w:tc>
          <w:tcPr>
            <w:tcW w:w="12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1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11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Voting Power†</w:t>
            </w:r>
          </w:p>
        </w:tc>
        <w:tc>
          <w:tcPr>
            <w:tcW w:w="0" w:type="dxa"/>
            <w:vAlign w:val="bottom"/>
          </w:tcPr>
          <w:p>
            <w:pPr>
              <w:spacing w:after="0"/>
              <w:rPr>
                <w:sz w:val="1"/>
                <w:szCs w:val="1"/>
                <w:color w:val="auto"/>
              </w:rPr>
            </w:pPr>
          </w:p>
        </w:tc>
      </w:tr>
      <w:tr>
        <w:trPr>
          <w:trHeight w:val="100"/>
        </w:trPr>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57"/>
        </w:trPr>
        <w:tc>
          <w:tcPr>
            <w:tcW w:w="1160" w:type="dxa"/>
            <w:vAlign w:val="bottom"/>
          </w:tcPr>
          <w:p>
            <w:pPr>
              <w:jc w:val="right"/>
              <w:spacing w:after="0"/>
              <w:rPr>
                <w:sz w:val="20"/>
                <w:szCs w:val="20"/>
                <w:color w:val="auto"/>
              </w:rPr>
            </w:pPr>
            <w:r>
              <w:rPr>
                <w:rFonts w:ascii="Arial" w:cs="Arial" w:eastAsia="Arial" w:hAnsi="Arial"/>
                <w:sz w:val="16"/>
                <w:szCs w:val="16"/>
                <w:color w:val="auto"/>
              </w:rPr>
              <w:t>16,817,925</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8"/>
        </w:trPr>
        <w:tc>
          <w:tcPr>
            <w:tcW w:w="1160" w:type="dxa"/>
            <w:vAlign w:val="bottom"/>
          </w:tcPr>
          <w:p>
            <w:pPr>
              <w:jc w:val="right"/>
              <w:spacing w:after="0"/>
              <w:rPr>
                <w:sz w:val="20"/>
                <w:szCs w:val="20"/>
                <w:color w:val="auto"/>
              </w:rPr>
            </w:pPr>
            <w:r>
              <w:rPr>
                <w:rFonts w:ascii="Arial" w:cs="Arial" w:eastAsia="Arial" w:hAnsi="Arial"/>
                <w:sz w:val="16"/>
                <w:szCs w:val="16"/>
                <w:color w:val="auto"/>
              </w:rPr>
              <w:t>13,588,649</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527"/>
        </w:trPr>
        <w:tc>
          <w:tcPr>
            <w:tcW w:w="1160" w:type="dxa"/>
            <w:vAlign w:val="bottom"/>
          </w:tcPr>
          <w:p>
            <w:pPr>
              <w:jc w:val="right"/>
              <w:spacing w:after="0"/>
              <w:rPr>
                <w:sz w:val="20"/>
                <w:szCs w:val="20"/>
                <w:color w:val="auto"/>
              </w:rPr>
            </w:pPr>
            <w:r>
              <w:rPr>
                <w:rFonts w:ascii="Arial" w:cs="Arial" w:eastAsia="Arial" w:hAnsi="Arial"/>
                <w:sz w:val="16"/>
                <w:szCs w:val="16"/>
                <w:color w:val="auto"/>
              </w:rPr>
              <w:t>18,422,562</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29"/>
        </w:trPr>
        <w:tc>
          <w:tcPr>
            <w:tcW w:w="1160" w:type="dxa"/>
            <w:vAlign w:val="bottom"/>
          </w:tcPr>
          <w:p>
            <w:pPr>
              <w:jc w:val="right"/>
              <w:spacing w:after="0"/>
              <w:rPr>
                <w:sz w:val="20"/>
                <w:szCs w:val="20"/>
                <w:color w:val="auto"/>
              </w:rPr>
            </w:pPr>
            <w:r>
              <w:rPr>
                <w:rFonts w:ascii="Arial" w:cs="Arial" w:eastAsia="Arial" w:hAnsi="Arial"/>
                <w:sz w:val="16"/>
                <w:szCs w:val="16"/>
                <w:color w:val="auto"/>
              </w:rPr>
              <w:t>13,114,697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92"/>
        </w:trPr>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6,488,825</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29"/>
        </w:trPr>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9,406,815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810"/>
        </w:trPr>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22,621,242</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243"/>
        </w:trPr>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105,000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1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1,202,720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1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1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-2961640</wp:posOffset>
            </wp:positionV>
            <wp:extent cx="534924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9146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-2455545</wp:posOffset>
            </wp:positionV>
            <wp:extent cx="534924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3464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-1975485</wp:posOffset>
            </wp:positionV>
            <wp:extent cx="534924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4892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-1581150</wp:posOffset>
            </wp:positionV>
            <wp:extent cx="534924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003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-1066800</wp:posOffset>
            </wp:positionV>
            <wp:extent cx="534924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1463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-638175</wp:posOffset>
            </wp:positionV>
            <wp:extent cx="534924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1463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-209550</wp:posOffset>
            </wp:positionV>
            <wp:extent cx="534924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360" w:space="140"/>
            <w:col w:w="7740"/>
          </w:cols>
          <w:pgMar w:left="320" w:top="1421" w:right="339" w:bottom="1440" w:gutter="0" w:footer="0" w:header="0"/>
          <w:type w:val="continuous"/>
        </w:sectPr>
      </w:pPr>
    </w:p>
    <w:tbl>
      <w:tblPr>
        <w:tblLayout w:type="fixed"/>
        <w:tblInd w:w="1420" w:type="dxa"/>
        <w:tblCellMar>
          <w:top w:w="0" w:type="dxa"/>
          <w:left w:w="0" w:type="dxa"/>
          <w:bottom w:w="0" w:type="dxa"/>
          <w:right w:w="0" w:type="dxa"/>
        </w:tblCellMar>
      </w:tblPr>
      <w:tr>
        <w:trPr>
          <w:trHeight w:val="231"/>
        </w:trPr>
        <w:tc>
          <w:tcPr>
            <w:tcW w:w="2100" w:type="dxa"/>
            <w:vAlign w:val="bottom"/>
          </w:tcPr>
          <w:p>
            <w:pPr>
              <w:ind w:left="20"/>
              <w:spacing w:after="0" w:line="231" w:lineRule="exact"/>
              <w:rPr>
                <w:sz w:val="20"/>
                <w:szCs w:val="20"/>
                <w:color w:val="auto"/>
              </w:rPr>
            </w:pPr>
            <w:r>
              <w:rPr>
                <w:rFonts w:ascii="Arial" w:cs="Arial" w:eastAsia="Arial" w:hAnsi="Arial"/>
                <w:sz w:val="16"/>
                <w:szCs w:val="16"/>
                <w:color w:val="auto"/>
              </w:rPr>
              <w:t>McMaster</w:t>
            </w:r>
            <w:r>
              <w:rPr>
                <w:rFonts w:ascii="Arial" w:cs="Arial" w:eastAsia="Arial" w:hAnsi="Arial"/>
                <w:sz w:val="21"/>
                <w:szCs w:val="21"/>
                <w:color w:val="auto"/>
                <w:vertAlign w:val="superscript"/>
              </w:rPr>
              <w:t>(11)</w:t>
            </w:r>
          </w:p>
        </w:tc>
        <w:tc>
          <w:tcPr>
            <w:tcW w:w="1680" w:type="dxa"/>
            <w:vAlign w:val="bottom"/>
          </w:tcPr>
          <w:p>
            <w:pPr>
              <w:jc w:val="right"/>
              <w:ind w:right="539"/>
              <w:spacing w:after="0"/>
              <w:rPr>
                <w:sz w:val="20"/>
                <w:szCs w:val="20"/>
                <w:color w:val="auto"/>
              </w:rPr>
            </w:pPr>
            <w:r>
              <w:rPr>
                <w:rFonts w:ascii="Arial" w:cs="Arial" w:eastAsia="Arial" w:hAnsi="Arial"/>
                <w:sz w:val="16"/>
                <w:szCs w:val="16"/>
                <w:color w:val="auto"/>
              </w:rPr>
              <w:t>1,770</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Janet Napolitano</w:t>
            </w:r>
            <w:r>
              <w:rPr>
                <w:rFonts w:ascii="Arial" w:cs="Arial" w:eastAsia="Arial" w:hAnsi="Arial"/>
                <w:sz w:val="21"/>
                <w:szCs w:val="21"/>
                <w:color w:val="auto"/>
                <w:vertAlign w:val="superscript"/>
              </w:rPr>
              <w:t>(12)</w:t>
            </w:r>
          </w:p>
        </w:tc>
        <w:tc>
          <w:tcPr>
            <w:tcW w:w="16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560</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100" w:type="dxa"/>
            <w:vAlign w:val="bottom"/>
          </w:tcPr>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(13)</w:t>
            </w:r>
          </w:p>
        </w:tc>
        <w:tc>
          <w:tcPr>
            <w:tcW w:w="1680" w:type="dxa"/>
            <w:vAlign w:val="bottom"/>
            <w:vMerge w:val="restart"/>
          </w:tcPr>
          <w:p>
            <w:pPr>
              <w:jc w:val="right"/>
              <w:ind w:right="5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359"/>
              <w:spacing w:after="0"/>
              <w:rPr>
                <w:sz w:val="20"/>
                <w:szCs w:val="20"/>
                <w:color w:val="auto"/>
              </w:rPr>
            </w:pPr>
            <w:r>
              <w:rPr>
                <w:rFonts w:ascii="Arial" w:cs="Arial" w:eastAsia="Arial" w:hAnsi="Arial"/>
                <w:sz w:val="16"/>
                <w:szCs w:val="16"/>
                <w:color w:val="auto"/>
              </w:rPr>
              <w:t>1,664,255</w:t>
            </w:r>
          </w:p>
        </w:tc>
        <w:tc>
          <w:tcPr>
            <w:tcW w:w="1380" w:type="dxa"/>
            <w:vAlign w:val="bottom"/>
            <w:vMerge w:val="restart"/>
          </w:tcPr>
          <w:p>
            <w:pPr>
              <w:jc w:val="right"/>
              <w:ind w:right="379"/>
              <w:spacing w:after="0"/>
              <w:rPr>
                <w:sz w:val="20"/>
                <w:szCs w:val="20"/>
                <w:color w:val="auto"/>
              </w:rPr>
            </w:pPr>
            <w:r>
              <w:rPr>
                <w:rFonts w:ascii="Arial" w:cs="Arial" w:eastAsia="Arial" w:hAnsi="Arial"/>
                <w:sz w:val="16"/>
                <w:szCs w:val="16"/>
                <w:color w:val="auto"/>
              </w:rPr>
              <w:t>3.6 %</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51"/>
        </w:trPr>
        <w:tc>
          <w:tcPr>
            <w:tcW w:w="210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Santiago Subotovsky </w:t>
            </w:r>
            <w:r>
              <w:rPr>
                <w:rFonts w:ascii="Arial" w:cs="Arial" w:eastAsia="Arial" w:hAnsi="Arial"/>
                <w:sz w:val="21"/>
                <w:szCs w:val="21"/>
                <w:color w:val="auto"/>
                <w:vertAlign w:val="superscript"/>
              </w:rPr>
              <w:t>(14)</w:t>
            </w:r>
          </w:p>
        </w:tc>
        <w:tc>
          <w:tcPr>
            <w:tcW w:w="168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173,643</w:t>
            </w:r>
          </w:p>
        </w:tc>
        <w:tc>
          <w:tcPr>
            <w:tcW w:w="10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6,488,825</w:t>
            </w:r>
          </w:p>
        </w:tc>
        <w:tc>
          <w:tcPr>
            <w:tcW w:w="138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13.9 %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68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420" w:type="dxa"/>
        <w:tblCellMar>
          <w:top w:w="0" w:type="dxa"/>
          <w:left w:w="0" w:type="dxa"/>
          <w:bottom w:w="0" w:type="dxa"/>
          <w:right w:w="0" w:type="dxa"/>
        </w:tblCellMar>
      </w:tblPr>
      <w:tr>
        <w:trPr>
          <w:trHeight w:val="264"/>
        </w:trPr>
        <w:tc>
          <w:tcPr>
            <w:tcW w:w="2200" w:type="dxa"/>
            <w:vAlign w:val="bottom"/>
          </w:tcPr>
          <w:p>
            <w:pPr>
              <w:ind w:left="20"/>
              <w:spacing w:after="0"/>
              <w:rPr>
                <w:sz w:val="20"/>
                <w:szCs w:val="20"/>
                <w:color w:val="auto"/>
              </w:rPr>
            </w:pPr>
            <w:r>
              <w:rPr>
                <w:rFonts w:ascii="Arial" w:cs="Arial" w:eastAsia="Arial" w:hAnsi="Arial"/>
                <w:sz w:val="18"/>
                <w:szCs w:val="18"/>
                <w:color w:val="auto"/>
              </w:rPr>
              <w:t>Bart Swanson</w:t>
            </w:r>
            <w:r>
              <w:rPr>
                <w:rFonts w:ascii="Arial" w:cs="Arial" w:eastAsia="Arial" w:hAnsi="Arial"/>
                <w:sz w:val="23"/>
                <w:szCs w:val="23"/>
                <w:color w:val="auto"/>
                <w:vertAlign w:val="superscript"/>
              </w:rPr>
              <w:t>(15)</w:t>
            </w:r>
          </w:p>
        </w:tc>
        <w:tc>
          <w:tcPr>
            <w:tcW w:w="1580" w:type="dxa"/>
            <w:vAlign w:val="bottom"/>
          </w:tcPr>
          <w:p>
            <w:pPr>
              <w:jc w:val="right"/>
              <w:ind w:right="539"/>
              <w:spacing w:after="0"/>
              <w:rPr>
                <w:sz w:val="20"/>
                <w:szCs w:val="20"/>
                <w:color w:val="auto"/>
              </w:rPr>
            </w:pPr>
            <w:r>
              <w:rPr>
                <w:rFonts w:ascii="Arial" w:cs="Arial" w:eastAsia="Arial" w:hAnsi="Arial"/>
                <w:sz w:val="16"/>
                <w:szCs w:val="16"/>
                <w:color w:val="auto"/>
              </w:rPr>
              <w:t>20,481</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Ryan Azus</w:t>
            </w:r>
            <w:r>
              <w:rPr>
                <w:rFonts w:ascii="Arial" w:cs="Arial" w:eastAsia="Arial" w:hAnsi="Arial"/>
                <w:sz w:val="21"/>
                <w:szCs w:val="21"/>
                <w:color w:val="auto"/>
                <w:vertAlign w:val="superscript"/>
              </w:rPr>
              <w:t>(16)</w:t>
            </w:r>
          </w:p>
        </w:tc>
        <w:tc>
          <w:tcPr>
            <w:tcW w:w="15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57,470</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6"/>
                <w:szCs w:val="16"/>
                <w:color w:val="auto"/>
              </w:rPr>
              <w:t>Aparna Bawa</w:t>
            </w:r>
            <w:r>
              <w:rPr>
                <w:rFonts w:ascii="Arial" w:cs="Arial" w:eastAsia="Arial" w:hAnsi="Arial"/>
                <w:sz w:val="21"/>
                <w:szCs w:val="21"/>
                <w:color w:val="auto"/>
                <w:vertAlign w:val="superscript"/>
              </w:rPr>
              <w:t>(17)</w:t>
            </w:r>
          </w:p>
        </w:tc>
        <w:tc>
          <w:tcPr>
            <w:tcW w:w="1580" w:type="dxa"/>
            <w:vAlign w:val="bottom"/>
          </w:tcPr>
          <w:p>
            <w:pPr>
              <w:jc w:val="right"/>
              <w:ind w:right="539"/>
              <w:spacing w:after="0"/>
              <w:rPr>
                <w:sz w:val="20"/>
                <w:szCs w:val="20"/>
                <w:color w:val="auto"/>
              </w:rPr>
            </w:pPr>
            <w:r>
              <w:rPr>
                <w:rFonts w:ascii="Arial" w:cs="Arial" w:eastAsia="Arial" w:hAnsi="Arial"/>
                <w:sz w:val="16"/>
                <w:szCs w:val="16"/>
                <w:color w:val="auto"/>
              </w:rPr>
              <w:t>93,876</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Janine Pelosi</w:t>
            </w:r>
            <w:r>
              <w:rPr>
                <w:rFonts w:ascii="Arial" w:cs="Arial" w:eastAsia="Arial" w:hAnsi="Arial"/>
                <w:sz w:val="21"/>
                <w:szCs w:val="21"/>
                <w:color w:val="auto"/>
                <w:vertAlign w:val="superscript"/>
              </w:rPr>
              <w:t>(18)</w:t>
            </w:r>
          </w:p>
        </w:tc>
        <w:tc>
          <w:tcPr>
            <w:tcW w:w="15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49,267</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163,315</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200" w:type="dxa"/>
            <w:vAlign w:val="bottom"/>
          </w:tcPr>
          <w:p>
            <w:pPr>
              <w:ind w:left="20"/>
              <w:spacing w:after="0"/>
              <w:rPr>
                <w:sz w:val="20"/>
                <w:szCs w:val="20"/>
                <w:color w:val="auto"/>
              </w:rPr>
            </w:pPr>
            <w:r>
              <w:rPr>
                <w:rFonts w:ascii="Arial" w:cs="Arial" w:eastAsia="Arial" w:hAnsi="Arial"/>
                <w:sz w:val="16"/>
                <w:szCs w:val="16"/>
                <w:color w:val="auto"/>
              </w:rPr>
              <w:t xml:space="preserve">Kelly Steckelberg </w:t>
            </w:r>
            <w:r>
              <w:rPr>
                <w:rFonts w:ascii="Arial" w:cs="Arial" w:eastAsia="Arial" w:hAnsi="Arial"/>
                <w:sz w:val="21"/>
                <w:szCs w:val="21"/>
                <w:color w:val="auto"/>
                <w:vertAlign w:val="superscript"/>
              </w:rPr>
              <w:t>(19)</w:t>
            </w:r>
          </w:p>
        </w:tc>
        <w:tc>
          <w:tcPr>
            <w:tcW w:w="1580" w:type="dxa"/>
            <w:vAlign w:val="bottom"/>
            <w:vMerge w:val="restart"/>
          </w:tcPr>
          <w:p>
            <w:pPr>
              <w:jc w:val="right"/>
              <w:ind w:right="539"/>
              <w:spacing w:after="0"/>
              <w:rPr>
                <w:sz w:val="20"/>
                <w:szCs w:val="20"/>
                <w:color w:val="auto"/>
              </w:rPr>
            </w:pPr>
            <w:r>
              <w:rPr>
                <w:rFonts w:ascii="Arial" w:cs="Arial" w:eastAsia="Arial" w:hAnsi="Arial"/>
                <w:sz w:val="16"/>
                <w:szCs w:val="16"/>
                <w:color w:val="auto"/>
              </w:rPr>
              <w:t>3,241</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359"/>
              <w:spacing w:after="0"/>
              <w:rPr>
                <w:sz w:val="20"/>
                <w:szCs w:val="20"/>
                <w:color w:val="auto"/>
              </w:rPr>
            </w:pPr>
            <w:r>
              <w:rPr>
                <w:rFonts w:ascii="Arial" w:cs="Arial" w:eastAsia="Arial" w:hAnsi="Arial"/>
                <w:sz w:val="16"/>
                <w:szCs w:val="16"/>
                <w:color w:val="auto"/>
              </w:rPr>
              <w:t>871,100</w:t>
            </w:r>
          </w:p>
        </w:tc>
        <w:tc>
          <w:tcPr>
            <w:tcW w:w="1340" w:type="dxa"/>
            <w:vAlign w:val="bottom"/>
            <w:vMerge w:val="restart"/>
          </w:tcPr>
          <w:p>
            <w:pPr>
              <w:jc w:val="right"/>
              <w:ind w:right="339"/>
              <w:spacing w:after="0"/>
              <w:rPr>
                <w:sz w:val="20"/>
                <w:szCs w:val="20"/>
                <w:color w:val="auto"/>
              </w:rPr>
            </w:pPr>
            <w:r>
              <w:rPr>
                <w:rFonts w:ascii="Arial" w:cs="Arial" w:eastAsia="Arial" w:hAnsi="Arial"/>
                <w:sz w:val="16"/>
                <w:szCs w:val="16"/>
                <w:color w:val="auto"/>
              </w:rPr>
              <w:t>1.8 %</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51"/>
        </w:trPr>
        <w:tc>
          <w:tcPr>
            <w:tcW w:w="22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directors and executive</w:t>
            </w: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officers as a group</w:t>
            </w:r>
          </w:p>
        </w:tc>
        <w:tc>
          <w:tcPr>
            <w:tcW w:w="1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(16 persons) </w:t>
            </w:r>
            <w:r>
              <w:rPr>
                <w:rFonts w:ascii="Arial" w:cs="Arial" w:eastAsia="Arial" w:hAnsi="Arial"/>
                <w:sz w:val="21"/>
                <w:szCs w:val="21"/>
                <w:color w:val="auto"/>
                <w:vertAlign w:val="superscript"/>
              </w:rPr>
              <w:t>(20)</w:t>
            </w:r>
          </w:p>
        </w:tc>
        <w:tc>
          <w:tcPr>
            <w:tcW w:w="158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450,817</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33,173,427</w:t>
            </w:r>
          </w:p>
        </w:tc>
        <w:tc>
          <w:tcPr>
            <w:tcW w:w="13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69.1 %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54"/>
        </w:trPr>
        <w:tc>
          <w:tcPr>
            <w:tcW w:w="2200" w:type="dxa"/>
            <w:vAlign w:val="bottom"/>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20" w:type="dxa"/>
            <w:vAlign w:val="bottom"/>
            <w:vMerge w:val="continue"/>
            <w:shd w:val="clear" w:color="auto" w:fill="CCEEFF"/>
          </w:tcPr>
          <w:p>
            <w:pPr>
              <w:spacing w:after="0"/>
              <w:rPr>
                <w:sz w:val="4"/>
                <w:szCs w:val="4"/>
                <w:color w:val="auto"/>
              </w:rPr>
            </w:pPr>
          </w:p>
        </w:tc>
        <w:tc>
          <w:tcPr>
            <w:tcW w:w="1340" w:type="dxa"/>
            <w:vAlign w:val="bottom"/>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together as a single class. Each</w:t>
      </w:r>
    </w:p>
    <w:p>
      <w:pPr>
        <w:spacing w:after="0" w:line="32" w:lineRule="exact"/>
        <w:rPr>
          <w:sz w:val="20"/>
          <w:szCs w:val="20"/>
          <w:color w:val="auto"/>
        </w:rPr>
      </w:pPr>
    </w:p>
    <w:p>
      <w:pPr>
        <w:jc w:val="both"/>
        <w:ind w:left="340"/>
        <w:spacing w:after="0" w:line="281" w:lineRule="auto"/>
        <w:rPr>
          <w:sz w:val="20"/>
          <w:szCs w:val="20"/>
          <w:color w:val="auto"/>
        </w:rPr>
      </w:pPr>
      <w:r>
        <w:rPr>
          <w:rFonts w:ascii="Arial" w:cs="Arial" w:eastAsia="Arial" w:hAnsi="Arial"/>
          <w:sz w:val="16"/>
          <w:szCs w:val="16"/>
          <w:color w:val="auto"/>
        </w:rPr>
        <w:t>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 “Description of Capital Stock—Class A Common Stock and Class B Common Stock—Voting Rights.”</w:t>
      </w:r>
    </w:p>
    <w:p>
      <w:pPr>
        <w:spacing w:after="0" w:line="2" w:lineRule="exact"/>
        <w:rPr>
          <w:sz w:val="20"/>
          <w:szCs w:val="20"/>
          <w:color w:val="auto"/>
        </w:rPr>
      </w:pPr>
    </w:p>
    <w:p>
      <w:pPr>
        <w:jc w:val="both"/>
        <w:ind w:left="340" w:hanging="332"/>
        <w:spacing w:after="0" w:line="252" w:lineRule="auto"/>
        <w:tabs>
          <w:tab w:leader="none" w:pos="3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regarding Bin Yuan and Cathy Z. Wang is based solely upon Schedule 13G/A filed by Mr. Yuan and Ms. Wang with the SEC on February 14, 2022 reporting their beneficial ownership as of December 31, 2021. The Schedule 13G reports that (i) Mr. Yuan directly owns, and has sole voting and dispositive power over, 1,000 shares of Class A common stock, (ii) Ms. Wang directly owns, and has sole voting and dispositive power over, 1,000 shares of Class A common stock and (iii) Mr. Yuan and Ms. Wang have shared voting and dispositive power over 16,817,925 shares of Class A common stock held in trusts for which they serve as cotrustees. The address for Mr. Yuan and Ms. Wang is c/o Zoom Video Communications, Inc., 55 Almaden Boulevard, 6th Floor San Jose, California, 95113.</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40"/>
          </w:cols>
          <w:pgMar w:left="320" w:top="1421" w:right="339" w:bottom="1440" w:gutter="0" w:footer="0" w:header="0"/>
          <w:type w:val="continuous"/>
        </w:sectPr>
      </w:pPr>
    </w:p>
    <w:bookmarkStart w:id="60" w:name="page61"/>
    <w:bookmarkEnd w:id="60"/>
    <w:p>
      <w:pPr>
        <w:jc w:val="both"/>
        <w:ind w:left="340" w:hanging="332"/>
        <w:spacing w:after="0" w:line="283" w:lineRule="auto"/>
        <w:tabs>
          <w:tab w:leader="none" w:pos="33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Information regarding Li Ka Shing (“Mr. Li”) is based solely upon Schedule 13G filed by Mr. Li with the SEC on March 22, 2022 reporting his beneficial ownership as of March 7, 2022. The Schedule 13G reports that (i) Mr. Li has shared voting power and shared dispositive power with respect to 13,588,649 shares of Class A common stock, (ii) Mayspin Management Limited (“Mayspin”) has shared voting power and shared dispositive power with respect to 13,588,649 shares of Class A common stock (iii) Prime Doyen Limited (“Prime Doyen”) has shared voting power and shared dispositive power over 13,237,895 shares of Class A common stock, (iv) Bucantini Enterprises Limited ("Bucantini") has shared voting power and shared dispositive power over 4,680,348 shares of Class A common stock, (v) Star Arrow Limited ("Star Arrow") has shared voting power and shared dispositive power over 8,557,547 shares of Class A common stock, (vi) Prime Tech Global Limited ("Prime Tech") has shared voting power and shared dispositive power over 350,754 shares of Class A common stock, Bonus Goal International Limited ("Bonus Goal") has shared voting power and shared dispositive power over 350,000 shares of Class A common stock, and (vii) Insight Advance Limited ("Insight Advance") has shared voting power and shared dispositive power over 754 shares of Class A common stock. The address of the principal business office of Mr. Li, Mayspin, Prime Doyen, Bucantini, Star Arrow, Prime Tech, Bonus Goal, and Insight Advance is Cheung Kong Center, 7th Floor, 2 Queen’s RoadCentral, Hong Kong.</w:t>
      </w:r>
    </w:p>
    <w:p>
      <w:pPr>
        <w:spacing w:after="0" w:line="3" w:lineRule="exact"/>
        <w:rPr>
          <w:rFonts w:ascii="Arial" w:cs="Arial" w:eastAsia="Arial" w:hAnsi="Arial"/>
          <w:sz w:val="16"/>
          <w:szCs w:val="16"/>
          <w:color w:val="auto"/>
        </w:rPr>
      </w:pPr>
    </w:p>
    <w:p>
      <w:pPr>
        <w:jc w:val="both"/>
        <w:ind w:left="340" w:hanging="332"/>
        <w:spacing w:after="0" w:line="265" w:lineRule="auto"/>
        <w:tabs>
          <w:tab w:leader="none" w:pos="334"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Information regarding T. Rowe Price Associates, Inc. ("Price Associates") is based solely upon Schedule 13G filed by Price Associates with the SEC on February 14, 2022 reporting beneficial ownership as of December 31, 2021. The Schedule 13G reports that (i) Price Associates has sole voting power with respect to 7,688,611 shares of Class A common stock and sole dispositive power with respect to 18,422,562 shares of Class A common stock. The address for T, Rowe Price Associates, Inc. is 100 E. Pratt Street, Baltimore, MD 21202.</w:t>
      </w:r>
    </w:p>
    <w:p>
      <w:pPr>
        <w:jc w:val="both"/>
        <w:ind w:left="340" w:hanging="332"/>
        <w:spacing w:after="0" w:line="281" w:lineRule="auto"/>
        <w:tabs>
          <w:tab w:leader="none" w:pos="33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Information regarding The Vanguard Group (“Vanguard”) is based solely upon Schedule 13G/A filed by Vanguard with the SEC on February 10, 2022 reporting its beneficial ownership as of December 31, 2021. The Schedule 13G/A reports that Vanguard has shared voting power with respect to 209,845 shares of Class A common stock, sole dispositive power with respect to 12,639,341 shares of Class A common stock and shared dispositive power with respect to 475,356 shares of Class A common stock. The address for Vanguard is 100 Vanguard Boulevard, Malvern, Pennsylvania, 19355.</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6,488,825 shares of Class B common stock held of record by Emergence Capital Partners III, L.P. ("ECP III) and EZP Opportunity, L.P. ("EZP"). Emergence Equity Partners III, L.P. ("EEP") is the sole general partner of ECP III and EZP, and may be deemed to beneficially own the shares of stock held directly by each ECP III and EZP. Mr. Subotovsky, one of our directors, is a member of EEP and shares voting and investment control with respect to shares held by the Emergence Entities. The address for Emergence and EZP is 160 Bovet Road, Suite 300, San Mateo, California 94402.</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9,406,815 shares of Class B common stock held of record by Puccini World Limited. Chau Hoi Shuen Solina Holly is the sole shareholder of Puccini.</w:t>
      </w:r>
    </w:p>
    <w:p>
      <w:pPr>
        <w:jc w:val="both"/>
        <w:ind w:left="340" w:hanging="332"/>
        <w:spacing w:after="0" w:line="265" w:lineRule="auto"/>
        <w:tabs>
          <w:tab w:leader="none" w:pos="334"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Consists of (i) 22,527,492 shares of Class B common stock held of record by Zheng Yuan and Hongyu Zhang, cotrustees of the 2018 Yuan and Zhang Revocable Trust, for which Mr. Yuan and his spouse serve as cotrustees, and (ii) 93,750 shares of Class B common stock subject to options exercisable within 60 days of March 31, 2022, of which 31,250 shares of Class B common stock are vested as of such date.</w:t>
      </w:r>
    </w:p>
    <w:p>
      <w:pPr>
        <w:ind w:left="340" w:hanging="332"/>
        <w:spacing w:after="0" w:line="25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252 shares of Class A common stock held of record by Mr. Chadwick and 105,000 shares of Class B common stock held of record by Mr. Chadwick.</w:t>
      </w:r>
    </w:p>
    <w:p>
      <w:pPr>
        <w:ind w:left="340" w:right="20" w:hanging="332"/>
        <w:spacing w:after="0" w:line="250"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3,113 shares of Class A common stock and 1,202,720 shares of Class B common stock held of record by Mr. Gassner as of March 31, 2022.</w:t>
      </w:r>
    </w:p>
    <w:p>
      <w:pPr>
        <w:ind w:left="340" w:hanging="332"/>
        <w:spacing w:after="0" w:line="250" w:lineRule="auto"/>
        <w:tabs>
          <w:tab w:leader="none" w:pos="3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50,000 shares of Class B common stock subject to options exercisable within 60 days of March 31, 2022 of which 31,250 shares of Class B common stock are vested as of such date.</w:t>
      </w: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Consists of 1,770 shares of Class A common stock held of record by General McMaster.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Consists of 560 shares of Class A common stock held of record by Ms. Napolitano.</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437,974 shares of Class B common stock held of record by Dan &amp; Zoe Scheinman Trust Dated 2/23/01, for which Mr. Scheinman serves as trustee, (ii) 1,126,281 shares of Class B common stock held of record by The 2017 Scheinman Irrevocable Trust, for which Mr. Scheinman serves as trustee and (iii) 100,000 shares of Class B common stock subject to options exercisable within 60 days of March 31, 2022, of which 83,333 shares of Class B common stock are vested as of such date.</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173,643 shares of Class A common stock held of record by Mr. Subotovsky, (ii) 6,488,825 shares of Class B common stock held of record by Emergence Capital Partners III, L.P. ("ECP III) and EZP Opportunity, L.P. ("EZP"). Emergence Equity Partners III, L.P. ("EEP") is the sole general partner of ECP III</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61" w:name="page62"/>
    <w:bookmarkEnd w:id="61"/>
    <w:p>
      <w:pPr>
        <w:ind w:left="340"/>
        <w:spacing w:after="0" w:line="258" w:lineRule="auto"/>
        <w:rPr>
          <w:sz w:val="20"/>
          <w:szCs w:val="20"/>
          <w:color w:val="auto"/>
        </w:rPr>
      </w:pPr>
      <w:r>
        <w:rPr>
          <w:rFonts w:ascii="Arial" w:cs="Arial" w:eastAsia="Arial" w:hAnsi="Arial"/>
          <w:sz w:val="18"/>
          <w:szCs w:val="18"/>
          <w:color w:val="auto"/>
        </w:rPr>
        <w:t>and EZP, and may be deemed to beneficially own the shares of stock held directly by each ECP III and EZP. Mr. Subotovsky is a member of EEP III and shares voting and investment control with respect to the shares held by the Emergence Entities.</w:t>
      </w:r>
    </w:p>
    <w:p>
      <w:pPr>
        <w:spacing w:after="0" w:line="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Consists of 20,481 shares of Class A common stock held of record by Mr. Swanson.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Consists of 57,470 shares of Class A common stock held of record by Mr. Azus.</w:t>
      </w:r>
    </w:p>
    <w:p>
      <w:pPr>
        <w:spacing w:after="0" w:line="20" w:lineRule="exact"/>
        <w:rPr>
          <w:rFonts w:ascii="Arial" w:cs="Arial" w:eastAsia="Arial" w:hAnsi="Arial"/>
          <w:sz w:val="17"/>
          <w:szCs w:val="17"/>
          <w:color w:val="auto"/>
        </w:rPr>
      </w:pPr>
    </w:p>
    <w:p>
      <w:pPr>
        <w:ind w:left="340" w:hanging="332"/>
        <w:spacing w:after="0" w:line="265" w:lineRule="auto"/>
        <w:tabs>
          <w:tab w:leader="none" w:pos="329"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Consists of 93,876 shares of Class A common stock held of record by Aparna Bawa and Rafik Bawa, cotrustees of the Bawa Family Trust, of which 45,000 shares of Class A common stock are subject to repurchase by the Issuer at the original issue price as of March 31, 2022.</w:t>
      </w:r>
    </w:p>
    <w:p>
      <w:pPr>
        <w:jc w:val="both"/>
        <w:ind w:left="340" w:hanging="332"/>
        <w:spacing w:after="0" w:line="250" w:lineRule="auto"/>
        <w:tabs>
          <w:tab w:leader="none" w:pos="3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(i) 34,647 shares of Class A common stock held of record by Ms. Pelosi, (ii) 7,310 shares of Class A common stock held of record by the JA Pelosi 2021 Zoom GRAT, (iii) 7,310 shares of Class A common stock held of record by the JJ Pelosi 2021 Zoom GRAT, and (iii) 200,815 shares of Class B common stock subject to options exercisable within 60 days of March 31, 2022, of which 163,315 shares of Class B common stock are vested as of such date.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(i) 3,241shares of Class A common stock held of record by The Steckelberg Trust dated 7/29/2006 and (ii) 871,100 shares of Class B common stock subject to options exercisable within 60 days of March 31, 2022 held by Ms. Steckelberg, of which 858,600 shares of Class B common stock are vested as of such date.</w:t>
      </w:r>
    </w:p>
    <w:p>
      <w:pPr>
        <w:spacing w:after="0" w:line="1" w:lineRule="exact"/>
        <w:rPr>
          <w:rFonts w:ascii="Arial" w:cs="Arial" w:eastAsia="Arial" w:hAnsi="Arial"/>
          <w:sz w:val="18"/>
          <w:szCs w:val="18"/>
          <w:color w:val="auto"/>
        </w:rPr>
      </w:pPr>
    </w:p>
    <w:p>
      <w:pPr>
        <w:jc w:val="both"/>
        <w:ind w:left="340" w:hanging="332"/>
        <w:spacing w:after="0" w:line="295" w:lineRule="auto"/>
        <w:tabs>
          <w:tab w:leader="none" w:pos="3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450,817 shares of Class A common stock beneficially owned by our current executive officers and directors, (ii) 31,888,292 shares of Class B common stock beneficially owned by our current executive officers and directors, of which 45,000 shares of Class B common stock may be repurchased by the Issuer at the original purchase price as of March 31, 2022, and (iii) 1,315,665 shares of Class B common stock subject to options exercisable within 60 days of March 31, 2022, of which 1,167,748 shares of Class B common stock are vested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62" w:name="page63"/>
    <w:bookmarkEnd w:id="62"/>
    <w:p>
      <w:pPr>
        <w:spacing w:after="0" w:line="19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is a summary of transactions since February 1, 2021,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“Board of Directors and Corporate Governance—Non-Employee Director Compensation.”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Investors’ Rights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Gift Agreement with University of California, Berkeley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made a gift to the Center for Security in Politics at the University of California, Berkeley's Goldman School of Public Policy. Ms. Napolitano, one of our directors, is the founder and director of the Center for Security in Politics. The gift is for an aggregate amount of $1.0 million, payable over five years beginning on February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4"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are authorized to indemnify our directors and officers to the fullest extent permitted by Delaware law. Our amended and restated bylaws provide that we are required to indemnify our directors and executive officers to the fullest extent permitted by Delaware law. Our amended and restated bylaws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January 31, 2022, all Section 16(a) filing requirements were satisfied on a timely basis except for late Form 4s filed for Mr. Chadwick covering one transaction and Mr. Swanson covering one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document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believe, expect, future, intend,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2022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Annual Report and SEC Filings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financial statements for our fiscal year ended January 31, 2022 are included in our Annual Report on Form 10-K, which we will make available to stockholders at the same time as this proxy statement. This proxy statement and our annual report are posted on our website at investors.zoom.us and are available from the SEC at its website at www.sec.gov.</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January 31, 2022 is available without charge upon written request to Zoom Video Communications, Inc., Attention: Investor Relations, 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 San Jose, California 95113 or via email to investors@zoom.us.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proxy statement and other materials we are sending you or that are available to you in connection with the Annual Meeting contain express and implied “forward-looking statements” within the meaning of the Private Securities Litigation Reform Act of 1995, including statements regarding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69" w:lineRule="auto"/>
        <w:rPr>
          <w:sz w:val="20"/>
          <w:szCs w:val="20"/>
          <w:color w:val="auto"/>
        </w:rPr>
      </w:pPr>
      <w:r>
        <w:rPr>
          <w:rFonts w:ascii="Arial" w:cs="Arial" w:eastAsia="Arial" w:hAnsi="Arial"/>
          <w:sz w:val="17"/>
          <w:szCs w:val="17"/>
          <w:color w:val="auto"/>
        </w:rPr>
        <w:t>COVID-19 pandemic tapers, particularly as vaccines become widely available and distributed, and users return to work or school or are otherwise no longer subject to limitations on in-person meetings,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described under the caption “Risk Factors” and elsewhere in our most recent filings with the SEC, including our Annual Report on Form 10-K for the fiscal year ended January 31, 2022. Forward-looking statements speak only as of the date the statements are made and are based on information available to Zoom at the time those statements are made and/or management’s good faith belief as of that time with respect to future events. We assume no obligation to update forward-looking statements to reflect events or circumstances after the date they were made, except as required by law.</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THE BOARD OF DIRECTORS</w:t>
      </w:r>
    </w:p>
    <w:p>
      <w:pPr>
        <w:spacing w:after="0" w:line="2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21"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1203325</wp:posOffset>
            </wp:positionV>
            <wp:extent cx="5349240" cy="6917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lvl w:ilvl="1">
      <w:lvlJc w:val="left"/>
      <w:lvlText w:val="%2."/>
      <w:numFmt w:val="lowerLetter"/>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9"/>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endash "/>
      <w:numFmt w:val="bullet"/>
      <w:start w:val="1"/>
    </w:lvl>
  </w:abstractNum>
  <w:abstractNum w:abstractNumId="28">
    <w:nsid w:val="70A64E2A"/>
    <w:multiLevelType w:val="hybridMultilevel"/>
    <w:lvl w:ilvl="0">
      <w:lvlJc w:val="left"/>
      <w:lvlText w:val="ü"/>
      <w:numFmt w:val="bullet"/>
      <w:start w:val="1"/>
    </w:lvl>
  </w:abstractNum>
  <w:abstractNum w:abstractNumId="29">
    <w:nsid w:val="6A2342EC"/>
    <w:multiLevelType w:val="hybridMultilevel"/>
    <w:lvl w:ilvl="0">
      <w:lvlJc w:val="left"/>
      <w:lvlText w:val="û"/>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2"/>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5"/>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1)"/>
      <w:numFmt w:val="decimal"/>
      <w:start w:val="15"/>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2022-05-06T23:28:56Z</dcterms:created>
  <dcterms:modified xsi:type="dcterms:W3CDTF">2022-05-06T23:28:56Z</dcterms:modified>
</cp:coreProperties>
</file>