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678815</wp:posOffset>
            </wp:positionV>
            <wp:extent cx="7130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041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703580</wp:posOffset>
            </wp:positionV>
            <wp:extent cx="7130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0415"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2"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4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May 22, 2023</w:t>
      </w:r>
    </w:p>
    <w:p>
      <w:pPr>
        <w:spacing w:after="0" w:line="2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Zoom Video Communications, Inc.</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31"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Arial" w:cs="Arial" w:eastAsia="Arial" w:hAnsi="Arial"/>
                <w:sz w:val="19"/>
                <w:szCs w:val="19"/>
                <w:b w:val="1"/>
                <w:bCs w:val="1"/>
                <w:color w:val="auto"/>
                <w:w w:val="91"/>
              </w:rPr>
              <w:t>Delaware</w:t>
            </w:r>
          </w:p>
        </w:tc>
        <w:tc>
          <w:tcPr>
            <w:tcW w:w="5020" w:type="dxa"/>
            <w:vAlign w:val="bottom"/>
          </w:tcPr>
          <w:p>
            <w:pPr>
              <w:jc w:val="center"/>
              <w:ind w:right="77"/>
              <w:spacing w:after="0"/>
              <w:rPr>
                <w:sz w:val="20"/>
                <w:szCs w:val="20"/>
                <w:color w:val="auto"/>
              </w:rPr>
            </w:pPr>
            <w:r>
              <w:rPr>
                <w:rFonts w:ascii="Arial" w:cs="Arial" w:eastAsia="Arial" w:hAnsi="Arial"/>
                <w:sz w:val="19"/>
                <w:szCs w:val="19"/>
                <w:b w:val="1"/>
                <w:bCs w:val="1"/>
                <w:color w:val="auto"/>
                <w:w w:val="90"/>
              </w:rPr>
              <w:t>001-38865</w:t>
            </w:r>
          </w:p>
        </w:tc>
        <w:tc>
          <w:tcPr>
            <w:tcW w:w="1700" w:type="dxa"/>
            <w:vAlign w:val="bottom"/>
          </w:tcPr>
          <w:p>
            <w:pPr>
              <w:jc w:val="center"/>
              <w:ind w:left="543"/>
              <w:spacing w:after="0"/>
              <w:rPr>
                <w:sz w:val="20"/>
                <w:szCs w:val="20"/>
                <w:color w:val="auto"/>
              </w:rPr>
            </w:pPr>
            <w:r>
              <w:rPr>
                <w:rFonts w:ascii="Arial" w:cs="Arial" w:eastAsia="Arial" w:hAnsi="Arial"/>
                <w:sz w:val="19"/>
                <w:szCs w:val="19"/>
                <w:b w:val="1"/>
                <w:bCs w:val="1"/>
                <w:color w:val="auto"/>
                <w:w w:val="90"/>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Arial" w:cs="Arial" w:eastAsia="Arial" w:hAnsi="Arial"/>
                <w:sz w:val="14"/>
                <w:szCs w:val="14"/>
                <w:b w:val="1"/>
                <w:bCs w:val="1"/>
                <w:color w:val="auto"/>
                <w:w w:val="90"/>
              </w:rPr>
              <w:t>(State or Other Jurisdiction</w:t>
            </w:r>
          </w:p>
        </w:tc>
        <w:tc>
          <w:tcPr>
            <w:tcW w:w="50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(Commission File Number)</w:t>
            </w:r>
          </w:p>
        </w:tc>
        <w:tc>
          <w:tcPr>
            <w:tcW w:w="1700" w:type="dxa"/>
            <w:vAlign w:val="bottom"/>
          </w:tcPr>
          <w:p>
            <w:pPr>
              <w:jc w:val="center"/>
              <w:ind w:left="543"/>
              <w:spacing w:after="0" w:line="142"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9"/>
        </w:trPr>
        <w:tc>
          <w:tcPr>
            <w:tcW w:w="2120" w:type="dxa"/>
            <w:vAlign w:val="bottom"/>
          </w:tcPr>
          <w:p>
            <w:pPr>
              <w:jc w:val="center"/>
              <w:ind w:right="423"/>
              <w:spacing w:after="0"/>
              <w:rPr>
                <w:sz w:val="20"/>
                <w:szCs w:val="20"/>
                <w:color w:val="auto"/>
              </w:rPr>
            </w:pPr>
            <w:r>
              <w:rPr>
                <w:rFonts w:ascii="Arial" w:cs="Arial" w:eastAsia="Arial" w:hAnsi="Arial"/>
                <w:sz w:val="14"/>
                <w:szCs w:val="14"/>
                <w:b w:val="1"/>
                <w:bCs w:val="1"/>
                <w:color w:val="auto"/>
                <w:w w:val="91"/>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50"/>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0"/>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8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Arial" w:cs="Arial" w:eastAsia="Arial" w:hAnsi="Arial"/>
                <w:sz w:val="19"/>
                <w:szCs w:val="19"/>
                <w:b w:val="1"/>
                <w:bCs w:val="1"/>
                <w:color w:val="auto"/>
                <w:w w:val="90"/>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106" w:lineRule="exact"/>
        <w:rPr>
          <w:sz w:val="24"/>
          <w:szCs w:val="24"/>
          <w:color w:val="auto"/>
        </w:rPr>
      </w:pPr>
    </w:p>
    <w:p>
      <w:pPr>
        <w:ind w:right="440"/>
        <w:spacing w:after="0" w:line="26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8" w:lineRule="exact"/>
        <w:rPr>
          <w:sz w:val="24"/>
          <w:szCs w:val="24"/>
          <w:color w:val="auto"/>
        </w:rPr>
      </w:pPr>
    </w:p>
    <w:p>
      <w:pPr>
        <w:ind w:left="640" w:hanging="620"/>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49" w:lineRule="exact"/>
        <w:rPr>
          <w:rFonts w:ascii="MS PGothic" w:cs="MS PGothic" w:eastAsia="MS PGothic" w:hAnsi="MS PGothic"/>
          <w:sz w:val="17"/>
          <w:szCs w:val="17"/>
          <w:color w:val="auto"/>
        </w:rPr>
      </w:pPr>
    </w:p>
    <w:p>
      <w:pPr>
        <w:ind w:left="640" w:hanging="620"/>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40" w:hanging="620"/>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3" w:lineRule="exact"/>
        <w:rPr>
          <w:rFonts w:ascii="MS PGothic" w:cs="MS PGothic" w:eastAsia="MS PGothic" w:hAnsi="MS PGothic"/>
          <w:sz w:val="17"/>
          <w:szCs w:val="17"/>
          <w:color w:val="auto"/>
        </w:rPr>
      </w:pPr>
    </w:p>
    <w:p>
      <w:pPr>
        <w:ind w:left="640" w:hanging="620"/>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Name of each exchange on which registered</w:t>
            </w:r>
          </w:p>
        </w:tc>
      </w:tr>
      <w:tr>
        <w:trPr>
          <w:trHeight w:val="199"/>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ZM</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The Nasdaq Global Select Market</w:t>
            </w:r>
          </w:p>
        </w:tc>
      </w:tr>
    </w:tbl>
    <w:p>
      <w:pPr>
        <w:spacing w:after="0" w:line="181" w:lineRule="exact"/>
        <w:rPr>
          <w:sz w:val="24"/>
          <w:szCs w:val="24"/>
          <w:color w:val="auto"/>
        </w:rPr>
      </w:pPr>
    </w:p>
    <w:p>
      <w:pPr>
        <w:ind w:right="200"/>
        <w:spacing w:after="0" w:line="280"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59" w:lineRule="exact"/>
        <w:rPr>
          <w:sz w:val="24"/>
          <w:szCs w:val="24"/>
          <w:color w:val="auto"/>
        </w:rPr>
      </w:pPr>
    </w:p>
    <w:p>
      <w:pPr>
        <w:ind w:right="46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774065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7130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wp:posOffset>
            </wp:positionV>
            <wp:extent cx="7130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 w:name="page2"/>
    <w:bookmarkEnd w:id="1"/>
    <w:p>
      <w:pPr>
        <w:spacing w:after="0"/>
        <w:tabs>
          <w:tab w:leader="none" w:pos="840" w:val="left"/>
        </w:tabs>
        <w:rPr>
          <w:sz w:val="20"/>
          <w:szCs w:val="20"/>
          <w:color w:val="auto"/>
        </w:rPr>
      </w:pPr>
      <w:r>
        <w:rPr>
          <w:rFonts w:ascii="Arial" w:cs="Arial" w:eastAsia="Arial" w:hAnsi="Arial"/>
          <w:sz w:val="17"/>
          <w:szCs w:val="17"/>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24" w:lineRule="exact"/>
        <w:rPr>
          <w:sz w:val="20"/>
          <w:szCs w:val="20"/>
          <w:color w:val="auto"/>
        </w:rPr>
      </w:pPr>
    </w:p>
    <w:p>
      <w:pPr>
        <w:ind w:right="80" w:firstLine="620"/>
        <w:spacing w:after="0" w:line="280" w:lineRule="auto"/>
        <w:rPr>
          <w:sz w:val="20"/>
          <w:szCs w:val="20"/>
          <w:color w:val="auto"/>
        </w:rPr>
      </w:pPr>
      <w:r>
        <w:rPr>
          <w:rFonts w:ascii="Arial" w:cs="Arial" w:eastAsia="Arial" w:hAnsi="Arial"/>
          <w:sz w:val="17"/>
          <w:szCs w:val="17"/>
          <w:color w:val="auto"/>
        </w:rPr>
        <w:t>On May 22, 2023, Zoom Video Communications, Inc. (the “Company”) issued a press release announcing its financial results for the three months ended April 30, 2023. A copy of the press release is furnished as Exhibit 99.1 to this report and is incorporated by reference.</w:t>
      </w:r>
    </w:p>
    <w:p>
      <w:pPr>
        <w:spacing w:after="0" w:line="163" w:lineRule="exact"/>
        <w:rPr>
          <w:sz w:val="20"/>
          <w:szCs w:val="20"/>
          <w:color w:val="auto"/>
        </w:rPr>
      </w:pPr>
    </w:p>
    <w:p>
      <w:pPr>
        <w:ind w:right="140" w:firstLine="620"/>
        <w:spacing w:after="0" w:line="262" w:lineRule="auto"/>
        <w:rPr>
          <w:sz w:val="20"/>
          <w:szCs w:val="20"/>
          <w:color w:val="auto"/>
        </w:rPr>
      </w:pPr>
      <w:r>
        <w:rPr>
          <w:rFonts w:ascii="Arial" w:cs="Arial" w:eastAsia="Arial" w:hAnsi="Arial"/>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7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80" w:type="dxa"/>
            <w:vAlign w:val="bottom"/>
            <w:gridSpan w:val="2"/>
          </w:tcPr>
          <w:p>
            <w:pPr>
              <w:spacing w:after="0"/>
              <w:rPr>
                <w:sz w:val="20"/>
                <w:szCs w:val="20"/>
                <w:color w:val="auto"/>
              </w:rPr>
            </w:pPr>
            <w:r>
              <w:rPr>
                <w:rFonts w:ascii="Arial" w:cs="Arial" w:eastAsia="Arial" w:hAnsi="Arial"/>
                <w:sz w:val="17"/>
                <w:szCs w:val="17"/>
                <w:color w:val="auto"/>
              </w:rPr>
              <w:t>(d)  Exhibits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46"/>
        </w:trPr>
        <w:tc>
          <w:tcPr>
            <w:tcW w:w="460" w:type="dxa"/>
            <w:vAlign w:val="bottom"/>
          </w:tcPr>
          <w:p>
            <w:pPr>
              <w:spacing w:after="0"/>
              <w:rPr>
                <w:sz w:val="21"/>
                <w:szCs w:val="21"/>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Exhibit No.</w:t>
            </w:r>
          </w:p>
        </w:tc>
        <w:tc>
          <w:tcPr>
            <w:tcW w:w="4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Description</w:t>
            </w:r>
          </w:p>
        </w:tc>
      </w:tr>
      <w:tr>
        <w:trPr>
          <w:trHeight w:val="174"/>
        </w:trPr>
        <w:tc>
          <w:tcPr>
            <w:tcW w:w="1780" w:type="dxa"/>
            <w:vAlign w:val="bottom"/>
            <w:gridSpan w:val="2"/>
          </w:tcPr>
          <w:p>
            <w:pPr>
              <w:jc w:val="right"/>
              <w:ind w:right="414"/>
              <w:spacing w:after="0" w:line="175" w:lineRule="exact"/>
              <w:rPr>
                <w:sz w:val="20"/>
                <w:szCs w:val="20"/>
                <w:color w:val="auto"/>
              </w:rPr>
            </w:pPr>
            <w:r>
              <w:rPr>
                <w:rFonts w:ascii="Arial" w:cs="Arial" w:eastAsia="Arial" w:hAnsi="Arial"/>
                <w:sz w:val="17"/>
                <w:szCs w:val="17"/>
                <w:color w:val="auto"/>
              </w:rPr>
              <w:t>99.1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tcBorders>
              <w:bottom w:val="single" w:sz="8" w:color="0000FF"/>
            </w:tcBorders>
          </w:tcPr>
          <w:p>
            <w:pPr>
              <w:spacing w:after="0" w:line="175" w:lineRule="exact"/>
              <w:rPr>
                <w:sz w:val="20"/>
                <w:szCs w:val="20"/>
                <w:color w:val="auto"/>
              </w:rPr>
            </w:pPr>
            <w:r>
              <w:rPr>
                <w:rFonts w:ascii="Arial" w:cs="Arial" w:eastAsia="Arial" w:hAnsi="Arial"/>
                <w:sz w:val="17"/>
                <w:szCs w:val="17"/>
                <w:color w:val="0000FF"/>
                <w:w w:val="91"/>
              </w:rPr>
              <w:t>Press release dated May 22, 2023 of Zoom Video Communications, Inc.</w:t>
            </w:r>
          </w:p>
        </w:tc>
        <w:tc>
          <w:tcPr>
            <w:tcW w:w="4020" w:type="dxa"/>
            <w:vAlign w:val="bottom"/>
          </w:tcPr>
          <w:p>
            <w:pPr>
              <w:spacing w:after="0"/>
              <w:rPr>
                <w:sz w:val="15"/>
                <w:szCs w:val="15"/>
                <w:color w:val="auto"/>
              </w:rPr>
            </w:pPr>
          </w:p>
        </w:tc>
      </w:tr>
      <w:tr>
        <w:trPr>
          <w:trHeight w:val="249"/>
        </w:trPr>
        <w:tc>
          <w:tcPr>
            <w:tcW w:w="1780" w:type="dxa"/>
            <w:vAlign w:val="bottom"/>
            <w:gridSpan w:val="2"/>
          </w:tcPr>
          <w:p>
            <w:pPr>
              <w:jc w:val="right"/>
              <w:ind w:right="434"/>
              <w:spacing w:after="0"/>
              <w:rPr>
                <w:sz w:val="20"/>
                <w:szCs w:val="20"/>
                <w:color w:val="auto"/>
              </w:rPr>
            </w:pPr>
            <w:r>
              <w:rPr>
                <w:rFonts w:ascii="Arial" w:cs="Arial" w:eastAsia="Arial" w:hAnsi="Arial"/>
                <w:sz w:val="17"/>
                <w:szCs w:val="17"/>
                <w:color w:val="auto"/>
              </w:rPr>
              <w:t>104</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2"/>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1169"/>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20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3360" w:type="dxa"/>
            <w:vAlign w:val="bottom"/>
          </w:tcPr>
          <w:p>
            <w:pPr>
              <w:spacing w:after="0"/>
              <w:rPr>
                <w:sz w:val="19"/>
                <w:szCs w:val="19"/>
                <w:color w:val="auto"/>
              </w:rPr>
            </w:pPr>
          </w:p>
        </w:tc>
        <w:tc>
          <w:tcPr>
            <w:tcW w:w="7340" w:type="dxa"/>
            <w:vAlign w:val="bottom"/>
            <w:gridSpan w:val="2"/>
          </w:tcPr>
          <w:p>
            <w:pPr>
              <w:ind w:left="1880"/>
              <w:spacing w:after="0"/>
              <w:rPr>
                <w:sz w:val="20"/>
                <w:szCs w:val="20"/>
                <w:color w:val="auto"/>
              </w:rPr>
            </w:pPr>
            <w:r>
              <w:rPr>
                <w:rFonts w:ascii="Arial" w:cs="Arial" w:eastAsia="Arial" w:hAnsi="Arial"/>
                <w:sz w:val="17"/>
                <w:szCs w:val="17"/>
                <w:b w:val="1"/>
                <w:bCs w:val="1"/>
                <w:color w:val="auto"/>
              </w:rPr>
              <w:t>Zoom Video Communications, Inc.</w:t>
            </w:r>
          </w:p>
        </w:tc>
      </w:tr>
      <w:tr>
        <w:trPr>
          <w:trHeight w:val="465"/>
        </w:trPr>
        <w:tc>
          <w:tcPr>
            <w:tcW w:w="3360" w:type="dxa"/>
            <w:vAlign w:val="bottom"/>
          </w:tcPr>
          <w:p>
            <w:pPr>
              <w:spacing w:after="0"/>
              <w:rPr>
                <w:sz w:val="20"/>
                <w:szCs w:val="20"/>
                <w:color w:val="auto"/>
              </w:rPr>
            </w:pPr>
            <w:r>
              <w:rPr>
                <w:rFonts w:ascii="Arial" w:cs="Arial" w:eastAsia="Arial" w:hAnsi="Arial"/>
                <w:sz w:val="17"/>
                <w:szCs w:val="17"/>
                <w:color w:val="auto"/>
              </w:rPr>
              <w:t>Dated: May 22, 2023</w:t>
            </w:r>
          </w:p>
        </w:tc>
        <w:tc>
          <w:tcPr>
            <w:tcW w:w="2600" w:type="dxa"/>
            <w:vAlign w:val="bottom"/>
          </w:tcPr>
          <w:p>
            <w:pPr>
              <w:ind w:left="1880"/>
              <w:spacing w:after="0"/>
              <w:rPr>
                <w:sz w:val="20"/>
                <w:szCs w:val="20"/>
                <w:color w:val="auto"/>
              </w:rPr>
            </w:pPr>
            <w:r>
              <w:rPr>
                <w:rFonts w:ascii="Arial" w:cs="Arial" w:eastAsia="Arial" w:hAnsi="Arial"/>
                <w:sz w:val="17"/>
                <w:szCs w:val="17"/>
                <w:color w:val="auto"/>
              </w:rPr>
              <w:t>By:</w:t>
            </w: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Kelly Steckelberg</w:t>
            </w:r>
          </w:p>
        </w:tc>
      </w:tr>
      <w:tr>
        <w:trPr>
          <w:trHeight w:val="212"/>
        </w:trPr>
        <w:tc>
          <w:tcPr>
            <w:tcW w:w="3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7"/>
                <w:szCs w:val="17"/>
                <w:color w:val="auto"/>
              </w:rPr>
              <w:t>Kelly Steckelberg</w:t>
            </w:r>
          </w:p>
        </w:tc>
      </w:tr>
      <w:tr>
        <w:trPr>
          <w:trHeight w:val="232"/>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w:t>
            </w:r>
          </w:p>
        </w:tc>
      </w:tr>
    </w:tbl>
    <w:p>
      <w:pPr>
        <w:sectPr>
          <w:pgSz w:w="11900" w:h="16838" w:orient="portrait"/>
          <w:cols w:equalWidth="0" w:num="1">
            <w:col w:w="11340"/>
          </w:cols>
          <w:pgMar w:left="320" w:top="85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color w:val="auto"/>
        </w:rPr>
        <w:t>Exhibit 99.1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Zoom Video Communications Reports Financial Results for the First Quarter of Fiscal Year 2024</w:t>
      </w:r>
    </w:p>
    <w:p>
      <w:pPr>
        <w:spacing w:after="0" w:line="120" w:lineRule="exact"/>
        <w:rPr>
          <w:sz w:val="20"/>
          <w:szCs w:val="20"/>
          <w:color w:val="auto"/>
        </w:rPr>
      </w:pPr>
    </w:p>
    <w:p>
      <w:pPr>
        <w:ind w:left="940" w:hanging="317"/>
        <w:spacing w:after="0"/>
        <w:tabs>
          <w:tab w:leader="none" w:pos="94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First quarter total revenue of $1,105.4 million, up 3% year over year as reported and 5% in constant currency</w:t>
      </w:r>
    </w:p>
    <w:p>
      <w:pPr>
        <w:spacing w:after="0" w:line="114" w:lineRule="exact"/>
        <w:rPr>
          <w:rFonts w:ascii="Arial" w:cs="Arial" w:eastAsia="Arial" w:hAnsi="Arial"/>
          <w:sz w:val="17"/>
          <w:szCs w:val="17"/>
          <w:b w:val="1"/>
          <w:bCs w:val="1"/>
          <w:i w:val="1"/>
          <w:iCs w:val="1"/>
          <w:color w:val="auto"/>
        </w:rPr>
      </w:pPr>
    </w:p>
    <w:p>
      <w:pPr>
        <w:ind w:left="940" w:hanging="317"/>
        <w:spacing w:after="0"/>
        <w:tabs>
          <w:tab w:leader="none" w:pos="94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First quarter Enterprise revenue of $632.0 million, up 13% year over year</w:t>
      </w:r>
    </w:p>
    <w:p>
      <w:pPr>
        <w:spacing w:after="0" w:line="114" w:lineRule="exact"/>
        <w:rPr>
          <w:rFonts w:ascii="Arial" w:cs="Arial" w:eastAsia="Arial" w:hAnsi="Arial"/>
          <w:sz w:val="17"/>
          <w:szCs w:val="17"/>
          <w:b w:val="1"/>
          <w:bCs w:val="1"/>
          <w:i w:val="1"/>
          <w:iCs w:val="1"/>
          <w:color w:val="auto"/>
        </w:rPr>
      </w:pPr>
    </w:p>
    <w:p>
      <w:pPr>
        <w:ind w:left="940" w:hanging="317"/>
        <w:spacing w:after="0"/>
        <w:tabs>
          <w:tab w:leader="none" w:pos="94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First quarter GAAP operating margin of 0.9% and non-GAAP operating margin of 38.2%</w:t>
      </w:r>
    </w:p>
    <w:p>
      <w:pPr>
        <w:spacing w:after="0" w:line="114" w:lineRule="exact"/>
        <w:rPr>
          <w:rFonts w:ascii="Arial" w:cs="Arial" w:eastAsia="Arial" w:hAnsi="Arial"/>
          <w:sz w:val="17"/>
          <w:szCs w:val="17"/>
          <w:b w:val="1"/>
          <w:bCs w:val="1"/>
          <w:i w:val="1"/>
          <w:iCs w:val="1"/>
          <w:color w:val="auto"/>
        </w:rPr>
      </w:pPr>
    </w:p>
    <w:p>
      <w:pPr>
        <w:ind w:left="940" w:hanging="317"/>
        <w:spacing w:after="0"/>
        <w:tabs>
          <w:tab w:leader="none" w:pos="94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Number of customers contributing more than $100,000 in trailing 12 months revenue up 23% year over year</w:t>
      </w:r>
    </w:p>
    <w:p>
      <w:pPr>
        <w:spacing w:after="0" w:line="212"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b w:val="1"/>
          <w:bCs w:val="1"/>
          <w:color w:val="auto"/>
        </w:rPr>
        <w:t xml:space="preserve">San Jose, California – </w:t>
      </w:r>
      <w:r>
        <w:rPr>
          <w:rFonts w:ascii="Arial" w:cs="Arial" w:eastAsia="Arial" w:hAnsi="Arial"/>
          <w:sz w:val="17"/>
          <w:szCs w:val="17"/>
          <w:color w:val="auto"/>
        </w:rPr>
        <w:t>May 22, 2023 – Zoom Video Communications, Inc. (NASDAQ: ZM), today announced financial results for the first fiscal quarter ended</w:t>
      </w:r>
      <w:r>
        <w:rPr>
          <w:rFonts w:ascii="Arial" w:cs="Arial" w:eastAsia="Arial" w:hAnsi="Arial"/>
          <w:sz w:val="17"/>
          <w:szCs w:val="17"/>
          <w:b w:val="1"/>
          <w:bCs w:val="1"/>
          <w:color w:val="auto"/>
        </w:rPr>
        <w:t xml:space="preserve"> </w:t>
      </w:r>
      <w:r>
        <w:rPr>
          <w:rFonts w:ascii="Arial" w:cs="Arial" w:eastAsia="Arial" w:hAnsi="Arial"/>
          <w:sz w:val="17"/>
          <w:szCs w:val="17"/>
          <w:color w:val="auto"/>
        </w:rPr>
        <w:t>April 30, 2023.</w:t>
      </w:r>
    </w:p>
    <w:p>
      <w:pPr>
        <w:spacing w:after="0" w:line="55"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“The Zoom platform is designed to support limitless human connection to empower the modern workday and strengthen customer relationships. Our customers see Zoom as mission-critical in how they collaborate internally and externally across the globe,” said Eric S. Yuan, Zoom Founder and CEO. “This relationship with our customers helped us to exceed our guidance due to Enterprise growth and stabilizing Online revenue while driving greater efficiencies in our business to deliver strong profitability and free cash flow margin. The solid start to the year has enabled us to raise our outlook for fiscal year 2024 while continuing to invest in innovations such as AI to help make interactions more meaningful and communications more effective.”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Fiscal Year 2024 Financial Highlights:</w:t>
      </w:r>
    </w:p>
    <w:p>
      <w:pPr>
        <w:spacing w:after="0" w:line="205" w:lineRule="exact"/>
        <w:rPr>
          <w:sz w:val="20"/>
          <w:szCs w:val="20"/>
          <w:color w:val="auto"/>
        </w:rPr>
      </w:pPr>
    </w:p>
    <w:p>
      <w:pPr>
        <w:ind w:left="940" w:right="240" w:hanging="317"/>
        <w:spacing w:after="0" w:line="270" w:lineRule="auto"/>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Total revenue for the first quarter was $1,105.4 million, up 3% year over year. After adjusting for foreign currency impact, revenue in</w:t>
      </w:r>
      <w:r>
        <w:rPr>
          <w:rFonts w:ascii="Arial" w:cs="Arial" w:eastAsia="Arial" w:hAnsi="Arial"/>
          <w:sz w:val="17"/>
          <w:szCs w:val="17"/>
          <w:b w:val="1"/>
          <w:bCs w:val="1"/>
          <w:color w:val="auto"/>
        </w:rPr>
        <w:t xml:space="preserve"> </w:t>
      </w:r>
      <w:r>
        <w:rPr>
          <w:rFonts w:ascii="Arial" w:cs="Arial" w:eastAsia="Arial" w:hAnsi="Arial"/>
          <w:sz w:val="17"/>
          <w:szCs w:val="17"/>
          <w:color w:val="auto"/>
        </w:rPr>
        <w:t>constant currency was $1,123.8 million, up 5% year over year. Enterprise revenue was $632.0 million, up 13% year over year, and Online revenue was $473.4 million, down 8% year over year.</w:t>
      </w:r>
    </w:p>
    <w:p>
      <w:pPr>
        <w:spacing w:after="0" w:line="63" w:lineRule="exact"/>
        <w:rPr>
          <w:rFonts w:ascii="Arial" w:cs="Arial" w:eastAsia="Arial" w:hAnsi="Arial"/>
          <w:sz w:val="17"/>
          <w:szCs w:val="17"/>
          <w:color w:val="auto"/>
        </w:rPr>
      </w:pPr>
    </w:p>
    <w:p>
      <w:pPr>
        <w:ind w:left="940" w:right="200" w:hanging="317"/>
        <w:spacing w:after="0" w:line="282" w:lineRule="auto"/>
        <w:tabs>
          <w:tab w:leader="none" w:pos="9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from Operations and Operating Margin: </w:t>
      </w:r>
      <w:r>
        <w:rPr>
          <w:rFonts w:ascii="Arial" w:cs="Arial" w:eastAsia="Arial" w:hAnsi="Arial"/>
          <w:sz w:val="16"/>
          <w:szCs w:val="16"/>
          <w:color w:val="auto"/>
        </w:rPr>
        <w:t>GAAP income from operations for the first quarter was $9.7 million, compared to GAAP</w:t>
      </w:r>
      <w:r>
        <w:rPr>
          <w:rFonts w:ascii="Arial" w:cs="Arial" w:eastAsia="Arial" w:hAnsi="Arial"/>
          <w:sz w:val="16"/>
          <w:szCs w:val="16"/>
          <w:b w:val="1"/>
          <w:bCs w:val="1"/>
          <w:color w:val="auto"/>
        </w:rPr>
        <w:t xml:space="preserve"> </w:t>
      </w:r>
      <w:r>
        <w:rPr>
          <w:rFonts w:ascii="Arial" w:cs="Arial" w:eastAsia="Arial" w:hAnsi="Arial"/>
          <w:sz w:val="16"/>
          <w:szCs w:val="16"/>
          <w:color w:val="auto"/>
        </w:rPr>
        <w:t>income from operations of $187.1 million in the first quarter of fiscal year 2023. After adjusting for stock-based compensation expense and related payroll taxes, acquisition-related expenses, restructuring expenses, and ligation settlements, net, non-GAAP income from operations for the first quarter was $422.3 million, compared to non-GAAP income from operations of $399.6 million in the first quarter of fiscal year 2023. For the first quarter, GAAP operating margin was 0.9% and non-GAAP operating margin was 38.2%.</w:t>
      </w:r>
    </w:p>
    <w:p>
      <w:pPr>
        <w:spacing w:after="0" w:line="158" w:lineRule="exact"/>
        <w:rPr>
          <w:rFonts w:ascii="Arial" w:cs="Arial" w:eastAsia="Arial" w:hAnsi="Arial"/>
          <w:sz w:val="16"/>
          <w:szCs w:val="16"/>
          <w:b w:val="1"/>
          <w:bCs w:val="1"/>
          <w:color w:val="auto"/>
        </w:rPr>
      </w:pPr>
    </w:p>
    <w:p>
      <w:pPr>
        <w:ind w:left="940" w:hanging="317"/>
        <w:spacing w:after="0" w:line="270" w:lineRule="auto"/>
        <w:tabs>
          <w:tab w:leader="none" w:pos="9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Income and Diluted Net Income Per Share: </w:t>
      </w:r>
      <w:r>
        <w:rPr>
          <w:rFonts w:ascii="Arial" w:cs="Arial" w:eastAsia="Arial" w:hAnsi="Arial"/>
          <w:sz w:val="17"/>
          <w:szCs w:val="17"/>
          <w:color w:val="auto"/>
        </w:rPr>
        <w:t>GAAP net income attributable to common stockholders for the first quarter was $15.4 million, or</w:t>
      </w:r>
      <w:r>
        <w:rPr>
          <w:rFonts w:ascii="Arial" w:cs="Arial" w:eastAsia="Arial" w:hAnsi="Arial"/>
          <w:sz w:val="17"/>
          <w:szCs w:val="17"/>
          <w:b w:val="1"/>
          <w:bCs w:val="1"/>
          <w:color w:val="auto"/>
        </w:rPr>
        <w:t xml:space="preserve"> </w:t>
      </w:r>
      <w:r>
        <w:rPr>
          <w:rFonts w:ascii="Arial" w:cs="Arial" w:eastAsia="Arial" w:hAnsi="Arial"/>
          <w:sz w:val="17"/>
          <w:szCs w:val="17"/>
          <w:color w:val="auto"/>
        </w:rPr>
        <w:t>$0.05 per share, compared to GAAP net income attributable to common stockholders of $113.6 million, or $0.37 per share in the first quarter of fiscal year 2023.</w:t>
      </w:r>
    </w:p>
    <w:p>
      <w:pPr>
        <w:spacing w:after="0" w:line="69" w:lineRule="exact"/>
        <w:rPr>
          <w:rFonts w:ascii="Arial" w:cs="Arial" w:eastAsia="Arial" w:hAnsi="Arial"/>
          <w:sz w:val="17"/>
          <w:szCs w:val="17"/>
          <w:b w:val="1"/>
          <w:bCs w:val="1"/>
          <w:color w:val="auto"/>
        </w:rPr>
      </w:pPr>
    </w:p>
    <w:p>
      <w:pPr>
        <w:ind w:left="940" w:right="60"/>
        <w:spacing w:after="0" w:line="262" w:lineRule="auto"/>
        <w:rPr>
          <w:rFonts w:ascii="Arial" w:cs="Arial" w:eastAsia="Arial" w:hAnsi="Arial"/>
          <w:sz w:val="17"/>
          <w:szCs w:val="17"/>
          <w:b w:val="1"/>
          <w:bCs w:val="1"/>
          <w:color w:val="auto"/>
        </w:rPr>
      </w:pPr>
      <w:r>
        <w:rPr>
          <w:rFonts w:ascii="Arial" w:cs="Arial" w:eastAsia="Arial" w:hAnsi="Arial"/>
          <w:sz w:val="17"/>
          <w:szCs w:val="17"/>
          <w:color w:val="auto"/>
        </w:rPr>
        <w:t>Non-GAAP net income for the first quarter was $353.3 million, after adjusting for stock-based compensation expense and related payroll taxes, losses (gains) on strategic investments, net, acquisition-related expenses, restructuring expenses, litigation settlements, net, undistributed earnings attributable to participating securities, and the tax effects on non-GAAP adjustments. Non-GAAP net income per share was $1.16. In the first quarter of fiscal year 2023, non-GAAP net income was $315.8 million, or $1.03 per share.</w:t>
      </w:r>
    </w:p>
    <w:p>
      <w:pPr>
        <w:spacing w:after="0" w:line="172" w:lineRule="exact"/>
        <w:rPr>
          <w:rFonts w:ascii="Arial" w:cs="Arial" w:eastAsia="Arial" w:hAnsi="Arial"/>
          <w:sz w:val="17"/>
          <w:szCs w:val="17"/>
          <w:b w:val="1"/>
          <w:bCs w:val="1"/>
          <w:color w:val="auto"/>
        </w:rPr>
      </w:pPr>
    </w:p>
    <w:p>
      <w:pPr>
        <w:ind w:left="940" w:right="200" w:hanging="317"/>
        <w:spacing w:after="0" w:line="287" w:lineRule="auto"/>
        <w:tabs>
          <w:tab w:leader="none" w:pos="9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 and Marketable Securities: </w:t>
      </w:r>
      <w:r>
        <w:rPr>
          <w:rFonts w:ascii="Arial" w:cs="Arial" w:eastAsia="Arial" w:hAnsi="Arial"/>
          <w:sz w:val="17"/>
          <w:szCs w:val="17"/>
          <w:color w:val="auto"/>
        </w:rPr>
        <w:t>Total cash, cash equivalents, and marketable securities, excluding restricted cash, as of April 30, 2023 was $5.6</w:t>
      </w:r>
      <w:r>
        <w:rPr>
          <w:rFonts w:ascii="Arial" w:cs="Arial" w:eastAsia="Arial" w:hAnsi="Arial"/>
          <w:sz w:val="17"/>
          <w:szCs w:val="17"/>
          <w:b w:val="1"/>
          <w:bCs w:val="1"/>
          <w:color w:val="auto"/>
        </w:rPr>
        <w:t xml:space="preserve"> </w:t>
      </w:r>
      <w:r>
        <w:rPr>
          <w:rFonts w:ascii="Arial" w:cs="Arial" w:eastAsia="Arial" w:hAnsi="Arial"/>
          <w:sz w:val="17"/>
          <w:szCs w:val="17"/>
          <w:color w:val="auto"/>
        </w:rPr>
        <w:t>billion.</w:t>
      </w:r>
    </w:p>
    <w:p>
      <w:pPr>
        <w:spacing w:after="0" w:line="48" w:lineRule="exact"/>
        <w:rPr>
          <w:rFonts w:ascii="Arial" w:cs="Arial" w:eastAsia="Arial" w:hAnsi="Arial"/>
          <w:sz w:val="17"/>
          <w:szCs w:val="17"/>
          <w:b w:val="1"/>
          <w:bCs w:val="1"/>
          <w:color w:val="auto"/>
        </w:rPr>
      </w:pPr>
    </w:p>
    <w:p>
      <w:pPr>
        <w:ind w:left="940" w:right="20" w:hanging="317"/>
        <w:spacing w:after="0" w:line="270" w:lineRule="auto"/>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Cash Flow: </w:t>
      </w:r>
      <w:r>
        <w:rPr>
          <w:rFonts w:ascii="Arial" w:cs="Arial" w:eastAsia="Arial" w:hAnsi="Arial"/>
          <w:sz w:val="17"/>
          <w:szCs w:val="17"/>
          <w:color w:val="auto"/>
        </w:rPr>
        <w:t>Net cash provided by operating activities was $418.5 million for the first quarter, compared to $526.2 million in the first quarter of fiscal</w:t>
      </w:r>
      <w:r>
        <w:rPr>
          <w:rFonts w:ascii="Arial" w:cs="Arial" w:eastAsia="Arial" w:hAnsi="Arial"/>
          <w:sz w:val="17"/>
          <w:szCs w:val="17"/>
          <w:b w:val="1"/>
          <w:bCs w:val="1"/>
          <w:color w:val="auto"/>
        </w:rPr>
        <w:t xml:space="preserve"> </w:t>
      </w:r>
      <w:r>
        <w:rPr>
          <w:rFonts w:ascii="Arial" w:cs="Arial" w:eastAsia="Arial" w:hAnsi="Arial"/>
          <w:sz w:val="17"/>
          <w:szCs w:val="17"/>
          <w:color w:val="auto"/>
        </w:rPr>
        <w:t>year 2023. Free cash flow, which is net cash provided by operating activities less purchases of property and equipment, was $396.7 million, compared to $501.1 million in the first quarter of fiscal year 2023.</w:t>
      </w:r>
    </w:p>
    <w:p>
      <w:pPr>
        <w:spacing w:after="0" w:line="166"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b w:val="1"/>
          <w:bCs w:val="1"/>
          <w:color w:val="auto"/>
        </w:rPr>
        <w:t xml:space="preserve">Customer Metrics: </w:t>
      </w:r>
      <w:r>
        <w:rPr>
          <w:rFonts w:ascii="Arial" w:cs="Arial" w:eastAsia="Arial" w:hAnsi="Arial"/>
          <w:sz w:val="17"/>
          <w:szCs w:val="17"/>
          <w:color w:val="auto"/>
        </w:rPr>
        <w:t>Drivers of total revenue included acquiring new customers and expanding across existing customers. At the end of the first quarter of fiscal</w:t>
      </w:r>
      <w:r>
        <w:rPr>
          <w:rFonts w:ascii="Arial" w:cs="Arial" w:eastAsia="Arial" w:hAnsi="Arial"/>
          <w:sz w:val="17"/>
          <w:szCs w:val="17"/>
          <w:b w:val="1"/>
          <w:bCs w:val="1"/>
          <w:color w:val="auto"/>
        </w:rPr>
        <w:t xml:space="preserve"> </w:t>
      </w:r>
      <w:r>
        <w:rPr>
          <w:rFonts w:ascii="Arial" w:cs="Arial" w:eastAsia="Arial" w:hAnsi="Arial"/>
          <w:sz w:val="17"/>
          <w:szCs w:val="17"/>
          <w:color w:val="auto"/>
        </w:rPr>
        <w:t>year 2024, Zoom had:</w:t>
      </w:r>
    </w:p>
    <w:p>
      <w:pPr>
        <w:spacing w:after="0" w:line="55" w:lineRule="exact"/>
        <w:rPr>
          <w:sz w:val="20"/>
          <w:szCs w:val="20"/>
          <w:color w:val="auto"/>
        </w:rPr>
      </w:pPr>
    </w:p>
    <w:p>
      <w:pPr>
        <w:ind w:left="940" w:hanging="317"/>
        <w:spacing w:after="0"/>
        <w:tabs>
          <w:tab w:leader="none" w:pos="94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Approximately 215,900 Enterprise customers, up 9% from the same quarter last fiscal year.</w:t>
      </w:r>
    </w:p>
    <w:p>
      <w:pPr>
        <w:spacing w:after="0" w:line="114" w:lineRule="exact"/>
        <w:rPr>
          <w:rFonts w:ascii="Arial" w:cs="Arial" w:eastAsia="Arial" w:hAnsi="Arial"/>
          <w:sz w:val="17"/>
          <w:szCs w:val="17"/>
          <w:b w:val="1"/>
          <w:bCs w:val="1"/>
          <w:color w:val="auto"/>
        </w:rPr>
      </w:pPr>
    </w:p>
    <w:p>
      <w:pPr>
        <w:ind w:left="940" w:hanging="317"/>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trailing 12-month net dollar expansion rate for Enterprise customers of 112%.</w:t>
      </w:r>
    </w:p>
    <w:p>
      <w:pPr>
        <w:spacing w:after="0" w:line="114" w:lineRule="exact"/>
        <w:rPr>
          <w:rFonts w:ascii="Arial" w:cs="Arial" w:eastAsia="Arial" w:hAnsi="Arial"/>
          <w:sz w:val="17"/>
          <w:szCs w:val="17"/>
          <w:color w:val="auto"/>
        </w:rPr>
      </w:pPr>
    </w:p>
    <w:p>
      <w:pPr>
        <w:ind w:left="940" w:hanging="317"/>
        <w:spacing w:after="0"/>
        <w:tabs>
          <w:tab w:leader="none" w:pos="9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3,580 customers contributing more than $100,000 in trailing 12 months revenue, up approximately 23% from the same quarter last fiscal year.</w:t>
      </w:r>
    </w:p>
    <w:p>
      <w:pPr>
        <w:sectPr>
          <w:pgSz w:w="11900" w:h="16838" w:orient="portrait"/>
          <w:cols w:equalWidth="0" w:num="1">
            <w:col w:w="11240"/>
          </w:cols>
          <w:pgMar w:left="320" w:top="1095" w:right="339" w:bottom="1440" w:gutter="0" w:footer="0" w:header="0"/>
        </w:sectPr>
      </w:pPr>
    </w:p>
    <w:bookmarkStart w:id="4" w:name="page5"/>
    <w:bookmarkEnd w:id="4"/>
    <w:p>
      <w:pPr>
        <w:ind w:left="940" w:hanging="317"/>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Online average monthly churn of 3.1% for Q1, down 50 bps from the same quarter last fiscal year.</w:t>
      </w:r>
    </w:p>
    <w:p>
      <w:pPr>
        <w:spacing w:after="0" w:line="114" w:lineRule="exact"/>
        <w:rPr>
          <w:rFonts w:ascii="Arial" w:cs="Arial" w:eastAsia="Arial" w:hAnsi="Arial"/>
          <w:sz w:val="17"/>
          <w:szCs w:val="17"/>
          <w:color w:val="auto"/>
        </w:rPr>
      </w:pPr>
    </w:p>
    <w:p>
      <w:pPr>
        <w:ind w:left="940" w:right="120" w:hanging="317"/>
        <w:spacing w:after="0" w:line="280" w:lineRule="auto"/>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percentage of total Online MRR from Online customers with a continual term of service of at least 16 months was 72.0%, up 700 bps year over year.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Outlook: </w:t>
      </w:r>
      <w:r>
        <w:rPr>
          <w:rFonts w:ascii="Arial" w:cs="Arial" w:eastAsia="Arial" w:hAnsi="Arial"/>
          <w:sz w:val="17"/>
          <w:szCs w:val="17"/>
          <w:color w:val="auto"/>
        </w:rPr>
        <w:t>Zoom is providing the following guidance for its second quarter of fiscal year 2024 and its full fiscal year 2024.</w:t>
      </w:r>
    </w:p>
    <w:p>
      <w:pPr>
        <w:spacing w:after="0" w:line="120" w:lineRule="exact"/>
        <w:rPr>
          <w:sz w:val="20"/>
          <w:szCs w:val="20"/>
          <w:color w:val="auto"/>
        </w:rPr>
      </w:pPr>
    </w:p>
    <w:p>
      <w:pPr>
        <w:ind w:left="940" w:right="120" w:hanging="317"/>
        <w:spacing w:after="0" w:line="318" w:lineRule="auto"/>
        <w:tabs>
          <w:tab w:leader="none" w:pos="94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Second Quarter Fiscal Year 2024: Total revenue is expected to be between $1.110 billion and $1.115 billion and revenue in constant currency is expected to be between $1.120 billion and $1.125 billion. Non-GAAP income from operations is expected to be between $405.0 million and $410.0 million. Non-GAAP diluted EPS is expected to be between $1.04 and $1.06 with approximately 307 million weighted average shares outstanding.</w:t>
      </w:r>
    </w:p>
    <w:p>
      <w:pPr>
        <w:spacing w:after="0" w:line="37" w:lineRule="exact"/>
        <w:rPr>
          <w:rFonts w:ascii="Arial" w:cs="Arial" w:eastAsia="Arial" w:hAnsi="Arial"/>
          <w:sz w:val="15"/>
          <w:szCs w:val="15"/>
          <w:b w:val="1"/>
          <w:bCs w:val="1"/>
          <w:color w:val="auto"/>
        </w:rPr>
      </w:pPr>
    </w:p>
    <w:p>
      <w:pPr>
        <w:jc w:val="both"/>
        <w:ind w:left="940" w:right="140" w:hanging="317"/>
        <w:spacing w:after="0" w:line="262" w:lineRule="auto"/>
        <w:tabs>
          <w:tab w:leader="none" w:pos="94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Full Fiscal Year 2024: Total revenue is expected to be between $4.465 billion and $4.485 billion and revenue in constant currency is expected to be between $4.495 billion and $4.515 billion. Full fiscal year non-GAAP income from operations is expected to be between $1.630 billion and $1.650 billion. Full fiscal year non-GAAP diluted EPS is expected to be between $4.25 and $4.31 with approximately 308 million weighted average shares outstanding.</w:t>
      </w:r>
    </w:p>
    <w:p>
      <w:pPr>
        <w:spacing w:after="0" w:line="17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 supplemental financial presentation and other information can be accessed through Zoom’s investor relations website at investors.zoom.us.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 Video Earnings Call</w:t>
      </w:r>
    </w:p>
    <w:p>
      <w:pPr>
        <w:spacing w:after="0" w:line="107"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Zoom will host a Zoom Video Webinar for investors on May 22, 2023 at 2:00 p.m. Pacific Time / 5:00 p.m. Eastern Time to discuss the company’s financial results, business highlights and financial outlook. Investors are invited to join the Zoom Video Webinar by visiting: https://investors.zoom.us/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Zoom</w:t>
      </w:r>
    </w:p>
    <w:p>
      <w:pPr>
        <w:spacing w:after="0" w:line="12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Zoom is an all-in-one intelligent collaboration platform that makes connecting easier, more immersive, and more dynamic for businesses and individuals. Zoom technology puts people at the center, enabling meaningful connections, facilitating modern collaboration, and driving human innovation through solutions like team chat, phone, meetings, omnichannel cloud contact center, smart recordings, whiteboard, and more, in one offering. Founded in 2011, Zoom is publicly traded (NASDAQ:ZM) and headquartered in San Jose, California. Get more info at zoom.com.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This press release contains express and implied “forward-looking statements” within the meaning of the Private Securities Litigation Reform Act of 1995, including statements regarding Zoom's financial outlook for the second quarter of fiscal year 2024 and full fiscal year 2024, Zoom’s market position, opportunities, and growth strategy, product initiatives and go-to-market motions and the expected benefits resulting from the same, and market trends.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other macroeconomic conditions, including inflation and the impact of COVID-19, on the overall economic environment, any or all of which will have an impact on demand for remote work solutions for businesses as well as overall distributed, face-to-face interactions and collaboration using Zoom, delays or outages in services from our co-located data centers, failures in internet infrastructure or interference with broadband access which could cause current or potential users to believe that our systems are unreliable, market volatility,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w:t>
      </w:r>
    </w:p>
    <w:p>
      <w:pPr>
        <w:sectPr>
          <w:pgSz w:w="11900" w:h="16838" w:orient="portrait"/>
          <w:cols w:equalWidth="0" w:num="1">
            <w:col w:w="11240"/>
          </w:cols>
          <w:pgMar w:left="320" w:top="966" w:right="339" w:bottom="1440" w:gutter="0" w:footer="0" w:header="0"/>
        </w:sectPr>
      </w:pPr>
    </w:p>
    <w:bookmarkStart w:id="5" w:name="page6"/>
    <w:bookmarkEnd w:id="5"/>
    <w:p>
      <w:pPr>
        <w:spacing w:after="0" w:line="262" w:lineRule="auto"/>
        <w:rPr>
          <w:sz w:val="20"/>
          <w:szCs w:val="20"/>
          <w:color w:val="auto"/>
        </w:rPr>
      </w:pPr>
      <w:r>
        <w:rPr>
          <w:rFonts w:ascii="Arial" w:cs="Arial" w:eastAsia="Arial" w:hAnsi="Arial"/>
          <w:sz w:val="17"/>
          <w:szCs w:val="17"/>
          <w:color w:val="auto"/>
        </w:rPr>
        <w:t>Exchange Commission (the “SEC”), including our annual report on Form 10-K for the fiscal year ended January 31, 2023.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7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6"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Non-GAAP Income From Operations and Non-GAAP Operating Margin. Zoom defines non-GAAP income from operations as income from operations excluding stock-based compensation expense and related payroll taxes, acquisition-related expenses, restructuring expenses, and litigation settlements, net.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Restructuring expenses are expenses associated with a formal restructuring plan and may include employee notice period costs and severance payments, and other related expenses. Zoom excludes these restructuring expenses because they are distinct from ongoing operational costs and Zoom does not believe they are reflective of current and expected future business performance and operating results. Zoom excludes significant litigation settlements, net of amounts covered by insurance, that we deem not to be in the ordinary course of our business.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56"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acquisition-related expenses, restructuring expenses, gains/losses on strategic investments, net, litigation settlements, net, and undistributed earnings attributable to participating securities, including the tax effects of all non-GAAP adjustments. Zoom excludes gains on strategic investments, net because given the size and volatility in the ongoing adjustments to the valuation of our strategic investments, we believe that excluding these gains or losses facilitates a more meaningful evaluation of our operational performance.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5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Free Cash Flow. Zoom defines free cash flow as GAAP net cash provided by operating activities less purchases of property and equipment. Zoom considers free cash flow to be a liquidity measure that provide useful information to management and investors regarding net cash provided by operating activities and cash used for investments in property and equipment required to maintain and grow the business.</w:t>
      </w:r>
    </w:p>
    <w:p>
      <w:pPr>
        <w:spacing w:after="0" w:line="7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 revenue in constant currency information as a framework for assessing how our underlying businesses performed period to period, excluding the effects of foreign currency fluctuations.</w:t>
      </w:r>
    </w:p>
    <w:p>
      <w:pPr>
        <w:sectPr>
          <w:pgSz w:w="11900" w:h="16838" w:orient="portrait"/>
          <w:cols w:equalWidth="0" w:num="1">
            <w:col w:w="11240"/>
          </w:cols>
          <w:pgMar w:left="320" w:top="966"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Customer Metrics</w:t>
      </w:r>
    </w:p>
    <w:p>
      <w:pPr>
        <w:spacing w:after="0" w:line="120"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Zoom defines a customer as a separate and distinct buying entity, which can be a single paid host or an organization of any size (including a distinct unit of an organization) that has multiple paid hosts. Zoom defines Enterprise customers as distinct business units who have been engaged by either Zoom’s direct sales team, channel partners or independent software vendor partners. All other customers that subscribe to our services directly through our website are referred to as Online customers.</w:t>
      </w:r>
    </w:p>
    <w:p>
      <w:pPr>
        <w:spacing w:after="0" w:line="7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for the applicable quarter. Zoom then divided that amount by three to calculate the online average monthly churn. One of the dynamics in the Online portion of the business is the MRR contribution from customers that have retained Zoom services for a certain portion of time as these customers tend to maintain their subscriptions and contribute meaningfully to the Online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Public Relations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Colleen Rodriguez</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Head of Global Public Relations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press@zoom.us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Tom McCallum</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Head of Investor Relations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investors@zoom.us</w:t>
      </w:r>
    </w:p>
    <w:p>
      <w:pPr>
        <w:sectPr>
          <w:pgSz w:w="11900" w:h="16838" w:orient="portrait"/>
          <w:cols w:equalWidth="0" w:num="1">
            <w:col w:w="11220"/>
          </w:cols>
          <w:pgMar w:left="320" w:top="1063"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As of</w:t>
            </w:r>
          </w:p>
        </w:tc>
        <w:tc>
          <w:tcPr>
            <w:tcW w:w="1200" w:type="dxa"/>
            <w:vAlign w:val="bottom"/>
          </w:tcPr>
          <w:p>
            <w:pPr>
              <w:spacing w:after="0"/>
              <w:rPr>
                <w:sz w:val="15"/>
                <w:szCs w:val="15"/>
                <w:color w:val="auto"/>
              </w:rPr>
            </w:pPr>
          </w:p>
        </w:tc>
      </w:tr>
      <w:tr>
        <w:trPr>
          <w:trHeight w:val="25"/>
        </w:trPr>
        <w:tc>
          <w:tcPr>
            <w:tcW w:w="8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2"/>
        </w:trPr>
        <w:tc>
          <w:tcPr>
            <w:tcW w:w="8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136"/>
              <w:spacing w:after="0" w:line="122" w:lineRule="exact"/>
              <w:rPr>
                <w:sz w:val="20"/>
                <w:szCs w:val="20"/>
                <w:color w:val="auto"/>
              </w:rPr>
            </w:pPr>
            <w:r>
              <w:rPr>
                <w:rFonts w:ascii="Arial" w:cs="Arial" w:eastAsia="Arial" w:hAnsi="Arial"/>
                <w:sz w:val="14"/>
                <w:szCs w:val="14"/>
                <w:b w:val="1"/>
                <w:bCs w:val="1"/>
                <w:color w:val="auto"/>
                <w:w w:val="94"/>
              </w:rPr>
              <w:t>April 30,</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ind w:right="275"/>
              <w:spacing w:after="0" w:line="122" w:lineRule="exact"/>
              <w:rPr>
                <w:sz w:val="20"/>
                <w:szCs w:val="20"/>
                <w:color w:val="auto"/>
              </w:rPr>
            </w:pPr>
            <w:r>
              <w:rPr>
                <w:rFonts w:ascii="Arial" w:cs="Arial" w:eastAsia="Arial" w:hAnsi="Arial"/>
                <w:sz w:val="14"/>
                <w:szCs w:val="14"/>
                <w:b w:val="1"/>
                <w:bCs w:val="1"/>
                <w:color w:val="auto"/>
              </w:rPr>
              <w:t>January 31,</w:t>
            </w:r>
          </w:p>
        </w:tc>
      </w:tr>
      <w:tr>
        <w:trPr>
          <w:trHeight w:val="187"/>
        </w:trPr>
        <w:tc>
          <w:tcPr>
            <w:tcW w:w="8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136"/>
              <w:spacing w:after="0"/>
              <w:rPr>
                <w:sz w:val="20"/>
                <w:szCs w:val="20"/>
                <w:color w:val="auto"/>
              </w:rPr>
            </w:pPr>
            <w:r>
              <w:rPr>
                <w:rFonts w:ascii="Arial" w:cs="Arial" w:eastAsia="Arial" w:hAnsi="Arial"/>
                <w:sz w:val="17"/>
                <w:szCs w:val="17"/>
                <w:color w:val="auto"/>
                <w:w w:val="92"/>
              </w:rPr>
              <w:t>(unaudited)</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1,029,546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1,086,830</w:t>
            </w:r>
          </w:p>
        </w:tc>
      </w:tr>
      <w:tr>
        <w:trPr>
          <w:trHeight w:val="219"/>
        </w:trPr>
        <w:tc>
          <w:tcPr>
            <w:tcW w:w="8260" w:type="dxa"/>
            <w:vAlign w:val="bottom"/>
          </w:tcPr>
          <w:p>
            <w:pPr>
              <w:ind w:left="220"/>
              <w:spacing w:after="0"/>
              <w:rPr>
                <w:sz w:val="20"/>
                <w:szCs w:val="20"/>
                <w:color w:val="auto"/>
              </w:rPr>
            </w:pPr>
            <w:r>
              <w:rPr>
                <w:rFonts w:ascii="Arial" w:cs="Arial" w:eastAsia="Arial" w:hAnsi="Arial"/>
                <w:sz w:val="17"/>
                <w:szCs w:val="17"/>
                <w:color w:val="auto"/>
              </w:rPr>
              <w:t>Marketable securities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4,566,845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4,325,836</w:t>
            </w:r>
          </w:p>
        </w:tc>
      </w:tr>
      <w:tr>
        <w:trPr>
          <w:trHeight w:val="233"/>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590,694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557,404</w:t>
            </w:r>
          </w:p>
        </w:tc>
      </w:tr>
      <w:tr>
        <w:trPr>
          <w:trHeight w:val="219"/>
        </w:trPr>
        <w:tc>
          <w:tcPr>
            <w:tcW w:w="8260" w:type="dxa"/>
            <w:vAlign w:val="bottom"/>
          </w:tcPr>
          <w:p>
            <w:pPr>
              <w:ind w:left="220"/>
              <w:spacing w:after="0"/>
              <w:rPr>
                <w:sz w:val="20"/>
                <w:szCs w:val="20"/>
                <w:color w:val="auto"/>
              </w:rPr>
            </w:pPr>
            <w:r>
              <w:rPr>
                <w:rFonts w:ascii="Arial" w:cs="Arial" w:eastAsia="Arial" w:hAnsi="Arial"/>
                <w:sz w:val="17"/>
                <w:szCs w:val="17"/>
                <w:color w:val="auto"/>
              </w:rPr>
              <w:t>Deferred contract acquisition costs, current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209,607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223,250</w:t>
            </w:r>
          </w:p>
        </w:tc>
      </w:tr>
      <w:tr>
        <w:trPr>
          <w:trHeight w:val="219"/>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170,987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163,092</w:t>
            </w:r>
          </w:p>
        </w:tc>
      </w:tr>
      <w:tr>
        <w:trPr>
          <w:trHeight w:val="219"/>
        </w:trPr>
        <w:tc>
          <w:tcPr>
            <w:tcW w:w="8260" w:type="dxa"/>
            <w:vAlign w:val="bottom"/>
          </w:tcPr>
          <w:p>
            <w:pPr>
              <w:ind w:left="52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6,567,679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6,356,412</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contract acquisition costs, noncurrent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166,742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179,991</w:t>
            </w:r>
          </w:p>
        </w:tc>
      </w:tr>
      <w:tr>
        <w:trPr>
          <w:trHeight w:val="219"/>
        </w:trPr>
        <w:tc>
          <w:tcPr>
            <w:tcW w:w="826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255,218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252,821</w:t>
            </w:r>
          </w:p>
        </w:tc>
      </w:tr>
      <w:tr>
        <w:trPr>
          <w:trHeight w:val="23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75,525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80,906</w:t>
            </w:r>
          </w:p>
        </w:tc>
      </w:tr>
      <w:tr>
        <w:trPr>
          <w:trHeight w:val="219"/>
        </w:trPr>
        <w:tc>
          <w:tcPr>
            <w:tcW w:w="8260" w:type="dxa"/>
            <w:vAlign w:val="bottom"/>
          </w:tcPr>
          <w:p>
            <w:pPr>
              <w:ind w:left="20"/>
              <w:spacing w:after="0"/>
              <w:rPr>
                <w:sz w:val="20"/>
                <w:szCs w:val="20"/>
                <w:color w:val="auto"/>
              </w:rPr>
            </w:pPr>
            <w:r>
              <w:rPr>
                <w:rFonts w:ascii="Arial" w:cs="Arial" w:eastAsia="Arial" w:hAnsi="Arial"/>
                <w:sz w:val="17"/>
                <w:szCs w:val="17"/>
                <w:color w:val="auto"/>
              </w:rPr>
              <w:t>Strategic investments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452,267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398,992</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304,162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122,641</w:t>
            </w:r>
          </w:p>
        </w:tc>
      </w:tr>
      <w:tr>
        <w:trPr>
          <w:trHeight w:val="225"/>
        </w:trPr>
        <w:tc>
          <w:tcPr>
            <w:tcW w:w="826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532,996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558,428</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noncurrent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181,621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177,874</w:t>
            </w:r>
          </w:p>
        </w:tc>
      </w:tr>
      <w:tr>
        <w:trPr>
          <w:trHeight w:val="213"/>
        </w:trPr>
        <w:tc>
          <w:tcPr>
            <w:tcW w:w="826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8,536,210</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8,128,065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826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16,520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14,414</w:t>
            </w:r>
          </w:p>
        </w:tc>
      </w:tr>
      <w:tr>
        <w:trPr>
          <w:trHeight w:val="225"/>
        </w:trPr>
        <w:tc>
          <w:tcPr>
            <w:tcW w:w="8260" w:type="dxa"/>
            <w:vAlign w:val="bottom"/>
          </w:tcPr>
          <w:p>
            <w:pPr>
              <w:ind w:left="220"/>
              <w:spacing w:after="0"/>
              <w:rPr>
                <w:sz w:val="20"/>
                <w:szCs w:val="20"/>
                <w:color w:val="auto"/>
              </w:rPr>
            </w:pPr>
            <w:r>
              <w:rPr>
                <w:rFonts w:ascii="Arial" w:cs="Arial" w:eastAsia="Arial" w:hAnsi="Arial"/>
                <w:sz w:val="17"/>
                <w:szCs w:val="17"/>
                <w:color w:val="auto"/>
              </w:rPr>
              <w:t>Accrued expenses and 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489,813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457,716</w:t>
            </w: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 current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1,337,560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1,266,514</w:t>
            </w:r>
          </w:p>
        </w:tc>
      </w:tr>
      <w:tr>
        <w:trPr>
          <w:trHeight w:val="212"/>
        </w:trPr>
        <w:tc>
          <w:tcPr>
            <w:tcW w:w="8260" w:type="dxa"/>
            <w:vAlign w:val="bottom"/>
          </w:tcPr>
          <w:p>
            <w:pPr>
              <w:ind w:left="520"/>
              <w:spacing w:after="0"/>
              <w:rPr>
                <w:sz w:val="20"/>
                <w:szCs w:val="20"/>
                <w:color w:val="auto"/>
              </w:rPr>
            </w:pPr>
            <w:r>
              <w:rPr>
                <w:rFonts w:ascii="Arial" w:cs="Arial" w:eastAsia="Arial" w:hAnsi="Arial"/>
                <w:sz w:val="17"/>
                <w:szCs w:val="17"/>
                <w:color w:val="auto"/>
              </w:rPr>
              <w:t>Total current liabilities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1,843,893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1,738,644</w:t>
            </w:r>
          </w:p>
        </w:tc>
      </w:tr>
      <w:tr>
        <w:trPr>
          <w:trHeight w:val="23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noncurrent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28,576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41,932</w:t>
            </w:r>
          </w:p>
        </w:tc>
      </w:tr>
      <w:tr>
        <w:trPr>
          <w:trHeight w:val="219"/>
        </w:trPr>
        <w:tc>
          <w:tcPr>
            <w:tcW w:w="8260" w:type="dxa"/>
            <w:vAlign w:val="bottom"/>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68,470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73,687</w:t>
            </w:r>
          </w:p>
        </w:tc>
      </w:tr>
      <w:tr>
        <w:trPr>
          <w:trHeight w:val="21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 noncurrent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71,164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67,195</w:t>
            </w: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2,012,103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1,921,458</w:t>
            </w:r>
          </w:p>
        </w:tc>
      </w:tr>
      <w:tr>
        <w:trPr>
          <w:trHeight w:val="239"/>
        </w:trPr>
        <w:tc>
          <w:tcPr>
            <w:tcW w:w="8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9"/>
        </w:trPr>
        <w:tc>
          <w:tcPr>
            <w:tcW w:w="826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3"/>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8260" w:type="dxa"/>
            <w:vAlign w:val="bottom"/>
          </w:tcPr>
          <w:p>
            <w:pPr>
              <w:ind w:left="220"/>
              <w:spacing w:after="0"/>
              <w:rPr>
                <w:sz w:val="20"/>
                <w:szCs w:val="20"/>
                <w:color w:val="auto"/>
              </w:rPr>
            </w:pPr>
            <w:r>
              <w:rPr>
                <w:rFonts w:ascii="Arial" w:cs="Arial" w:eastAsia="Arial" w:hAnsi="Arial"/>
                <w:sz w:val="17"/>
                <w:szCs w:val="17"/>
                <w:color w:val="auto"/>
              </w:rPr>
              <w:t>Common stock</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294</w:t>
            </w:r>
          </w:p>
        </w:tc>
      </w:tr>
      <w:tr>
        <w:trPr>
          <w:trHeight w:val="220"/>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4,391,418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4,104,880</w:t>
            </w:r>
          </w:p>
        </w:tc>
      </w:tr>
      <w:tr>
        <w:trPr>
          <w:trHeight w:val="225"/>
        </w:trPr>
        <w:tc>
          <w:tcPr>
            <w:tcW w:w="8260" w:type="dxa"/>
            <w:vAlign w:val="bottom"/>
          </w:tcPr>
          <w:p>
            <w:pPr>
              <w:ind w:left="22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(34,871)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(50,385)</w:t>
            </w: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2,167,262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2,151,818</w:t>
            </w:r>
          </w:p>
        </w:tc>
      </w:tr>
      <w:tr>
        <w:trPr>
          <w:trHeight w:val="212"/>
        </w:trPr>
        <w:tc>
          <w:tcPr>
            <w:tcW w:w="826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6,524,107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6,206,607</w:t>
            </w:r>
          </w:p>
        </w:tc>
      </w:tr>
      <w:tr>
        <w:trPr>
          <w:trHeight w:val="24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8,536,210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8,128,065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Note: The amount of unbilled accounts receivable included within accounts receivable, net on the condensed consolidated balance sheets was $107.1 million and $91.6 million as of April 30, 2023 and January 31, 2023, respectively.</w:t>
      </w:r>
    </w:p>
    <w:p>
      <w:pPr>
        <w:sectPr>
          <w:pgSz w:w="11900" w:h="16838" w:orient="portrait"/>
          <w:cols w:equalWidth="0" w:num="1">
            <w:col w:w="11240"/>
          </w:cols>
          <w:pgMar w:left="320" w:top="85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 April 30,</w:t>
            </w:r>
          </w:p>
        </w:tc>
      </w:tr>
      <w:tr>
        <w:trPr>
          <w:trHeight w:val="25"/>
        </w:trPr>
        <w:tc>
          <w:tcPr>
            <w:tcW w:w="8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3"/>
        </w:trPr>
        <w:tc>
          <w:tcPr>
            <w:tcW w:w="8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1,105,364</w:t>
            </w:r>
          </w:p>
        </w:tc>
        <w:tc>
          <w:tcPr>
            <w:tcW w:w="4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1,073,800</w:t>
            </w:r>
          </w:p>
        </w:tc>
      </w:tr>
      <w:tr>
        <w:trPr>
          <w:trHeight w:val="21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263,947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261,821</w:t>
            </w: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841,417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811,979</w:t>
            </w:r>
          </w:p>
        </w:tc>
      </w:tr>
      <w:tr>
        <w:trPr>
          <w:trHeight w:val="212"/>
        </w:trPr>
        <w:tc>
          <w:tcPr>
            <w:tcW w:w="82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8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144,291</w:t>
            </w:r>
          </w:p>
        </w:tc>
      </w:tr>
      <w:tr>
        <w:trPr>
          <w:trHeight w:val="225"/>
        </w:trPr>
        <w:tc>
          <w:tcPr>
            <w:tcW w:w="822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422,504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362,783</w:t>
            </w:r>
          </w:p>
        </w:tc>
      </w:tr>
      <w:tr>
        <w:trPr>
          <w:trHeight w:val="226"/>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199,900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117,840</w:t>
            </w:r>
          </w:p>
        </w:tc>
      </w:tr>
      <w:tr>
        <w:trPr>
          <w:trHeight w:val="213"/>
        </w:trPr>
        <w:tc>
          <w:tcPr>
            <w:tcW w:w="8220" w:type="dxa"/>
            <w:vAlign w:val="bottom"/>
          </w:tcPr>
          <w:p>
            <w:pPr>
              <w:ind w:left="5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831,675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624,914</w:t>
            </w:r>
          </w:p>
        </w:tc>
      </w:tr>
      <w:tr>
        <w:trPr>
          <w:trHeight w:val="225"/>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187,065</w:t>
            </w:r>
          </w:p>
        </w:tc>
      </w:tr>
      <w:tr>
        <w:trPr>
          <w:trHeight w:val="219"/>
        </w:trPr>
        <w:tc>
          <w:tcPr>
            <w:tcW w:w="8220" w:type="dxa"/>
            <w:vAlign w:val="bottom"/>
          </w:tcPr>
          <w:p>
            <w:pPr>
              <w:ind w:left="20"/>
              <w:spacing w:after="0"/>
              <w:rPr>
                <w:sz w:val="20"/>
                <w:szCs w:val="20"/>
                <w:color w:val="auto"/>
              </w:rPr>
            </w:pPr>
            <w:r>
              <w:rPr>
                <w:rFonts w:ascii="Arial" w:cs="Arial" w:eastAsia="Arial" w:hAnsi="Arial"/>
                <w:sz w:val="17"/>
                <w:szCs w:val="17"/>
                <w:color w:val="auto"/>
              </w:rPr>
              <w:t>Gains (losses) on strategic investments,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(36,404)</w:t>
            </w:r>
          </w:p>
        </w:tc>
      </w:tr>
      <w:tr>
        <w:trPr>
          <w:trHeight w:val="220"/>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(6,989)</w:t>
            </w:r>
          </w:p>
        </w:tc>
      </w:tr>
      <w:tr>
        <w:trPr>
          <w:trHeight w:val="212"/>
        </w:trPr>
        <w:tc>
          <w:tcPr>
            <w:tcW w:w="8220" w:type="dxa"/>
            <w:vAlign w:val="bottom"/>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43,230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143,672</w:t>
            </w:r>
          </w:p>
        </w:tc>
      </w:tr>
      <w:tr>
        <w:trPr>
          <w:trHeight w:val="233"/>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27,786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30,014</w:t>
            </w:r>
          </w:p>
        </w:tc>
      </w:tr>
      <w:tr>
        <w:trPr>
          <w:trHeight w:val="212"/>
        </w:trPr>
        <w:tc>
          <w:tcPr>
            <w:tcW w:w="82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15,444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113,658</w:t>
            </w:r>
          </w:p>
        </w:tc>
      </w:tr>
      <w:tr>
        <w:trPr>
          <w:trHeight w:val="21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Undistributed earnings attributable to participating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26"/>
        </w:trPr>
        <w:tc>
          <w:tcPr>
            <w:tcW w:w="8220" w:type="dxa"/>
            <w:vAlign w:val="bottom"/>
          </w:tcPr>
          <w:p>
            <w:pPr>
              <w:ind w:left="20"/>
              <w:spacing w:after="0"/>
              <w:rPr>
                <w:sz w:val="20"/>
                <w:szCs w:val="20"/>
                <w:color w:val="auto"/>
              </w:rPr>
            </w:pPr>
            <w:r>
              <w:rPr>
                <w:rFonts w:ascii="Arial" w:cs="Arial" w:eastAsia="Arial" w:hAnsi="Arial"/>
                <w:sz w:val="17"/>
                <w:szCs w:val="17"/>
                <w:color w:val="auto"/>
              </w:rPr>
              <w:t>Net income attributable to common stockholders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15,444</w:t>
            </w:r>
          </w:p>
        </w:tc>
        <w:tc>
          <w:tcPr>
            <w:tcW w:w="40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113,640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8220" w:type="dxa"/>
            <w:vAlign w:val="bottom"/>
          </w:tcPr>
          <w:p>
            <w:pPr>
              <w:ind w:left="20"/>
              <w:spacing w:after="0"/>
              <w:rPr>
                <w:sz w:val="20"/>
                <w:szCs w:val="20"/>
                <w:color w:val="auto"/>
              </w:rPr>
            </w:pPr>
            <w:r>
              <w:rPr>
                <w:rFonts w:ascii="Arial" w:cs="Arial" w:eastAsia="Arial" w:hAnsi="Arial"/>
                <w:sz w:val="17"/>
                <w:szCs w:val="17"/>
                <w:color w:val="auto"/>
              </w:rPr>
              <w:t>Net income per share attributable to common stockholders: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0.38</w:t>
            </w:r>
          </w:p>
        </w:tc>
      </w:tr>
      <w:tr>
        <w:trPr>
          <w:trHeight w:val="20"/>
        </w:trPr>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4"/>
        </w:trPr>
        <w:tc>
          <w:tcPr>
            <w:tcW w:w="8220" w:type="dxa"/>
            <w:vAlign w:val="bottom"/>
          </w:tcPr>
          <w:p>
            <w:pPr>
              <w:ind w:left="20"/>
              <w:spacing w:after="0"/>
              <w:rPr>
                <w:sz w:val="20"/>
                <w:szCs w:val="20"/>
                <w:color w:val="auto"/>
              </w:rPr>
            </w:pPr>
            <w:r>
              <w:rPr>
                <w:rFonts w:ascii="Arial" w:cs="Arial" w:eastAsia="Arial" w:hAnsi="Arial"/>
                <w:sz w:val="17"/>
                <w:szCs w:val="17"/>
                <w:color w:val="auto"/>
              </w:rPr>
              <w:t>Diluted</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0.05</w:t>
            </w:r>
          </w:p>
        </w:tc>
        <w:tc>
          <w:tcPr>
            <w:tcW w:w="40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0.37</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82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Weighted-average shares used in computing net income per share attributable to common stockholders: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9"/>
        </w:trPr>
        <w:tc>
          <w:tcPr>
            <w:tcW w:w="8220" w:type="dxa"/>
            <w:vAlign w:val="bottom"/>
          </w:tcPr>
          <w:p>
            <w:pPr>
              <w:ind w:left="2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295,409,207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299,147,105</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304,115,913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306,614,220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57"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4"/>
          </w:tcPr>
          <w:p>
            <w:pPr>
              <w:jc w:val="right"/>
              <w:ind w:right="463"/>
              <w:spacing w:after="0"/>
              <w:rPr>
                <w:sz w:val="20"/>
                <w:szCs w:val="20"/>
                <w:color w:val="auto"/>
              </w:rPr>
            </w:pPr>
            <w:r>
              <w:rPr>
                <w:rFonts w:ascii="Arial" w:cs="Arial" w:eastAsia="Arial" w:hAnsi="Arial"/>
                <w:sz w:val="14"/>
                <w:szCs w:val="14"/>
                <w:b w:val="1"/>
                <w:bCs w:val="1"/>
                <w:color w:val="auto"/>
              </w:rPr>
              <w:t>Three Months Ended April 30,</w:t>
            </w:r>
          </w:p>
        </w:tc>
      </w:tr>
      <w:tr>
        <w:trPr>
          <w:trHeight w:val="25"/>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9"/>
        </w:trPr>
        <w:tc>
          <w:tcPr>
            <w:tcW w:w="83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r>
      <w:tr>
        <w:trPr>
          <w:trHeight w:val="194"/>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4"/>
        </w:trPr>
        <w:tc>
          <w:tcPr>
            <w:tcW w:w="83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15,444</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113,658</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4"/>
        </w:trPr>
        <w:tc>
          <w:tcPr>
            <w:tcW w:w="8360" w:type="dxa"/>
            <w:vAlign w:val="bottom"/>
          </w:tcPr>
          <w:p>
            <w:pPr>
              <w:ind w:left="220"/>
              <w:spacing w:after="0"/>
              <w:rPr>
                <w:sz w:val="20"/>
                <w:szCs w:val="20"/>
                <w:color w:val="auto"/>
              </w:rPr>
            </w:pPr>
            <w:r>
              <w:rPr>
                <w:rFonts w:ascii="Arial" w:cs="Arial" w:eastAsia="Arial" w:hAnsi="Arial"/>
                <w:sz w:val="15"/>
                <w:szCs w:val="15"/>
                <w:color w:val="auto"/>
              </w:rPr>
              <w:t>Stock-based compensation expense</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282,345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209,363</w:t>
            </w:r>
          </w:p>
        </w:tc>
      </w:tr>
      <w:tr>
        <w:trPr>
          <w:trHeight w:val="209"/>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Amortization of deferred contract acquisition costs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56,780</w:t>
            </w:r>
          </w:p>
        </w:tc>
      </w:tr>
      <w:tr>
        <w:trPr>
          <w:trHeight w:val="204"/>
        </w:trPr>
        <w:tc>
          <w:tcPr>
            <w:tcW w:w="83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24,076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15,280</w:t>
            </w:r>
          </w:p>
        </w:tc>
      </w:tr>
      <w:tr>
        <w:trPr>
          <w:trHeight w:val="209"/>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8360" w:type="dxa"/>
            <w:vAlign w:val="bottom"/>
          </w:tcPr>
          <w:p>
            <w:pPr>
              <w:ind w:left="220"/>
              <w:spacing w:after="0"/>
              <w:rPr>
                <w:sz w:val="20"/>
                <w:szCs w:val="20"/>
                <w:color w:val="auto"/>
              </w:rPr>
            </w:pPr>
            <w:r>
              <w:rPr>
                <w:rFonts w:ascii="Arial" w:cs="Arial" w:eastAsia="Arial" w:hAnsi="Arial"/>
                <w:sz w:val="15"/>
                <w:szCs w:val="15"/>
                <w:color w:val="auto"/>
              </w:rPr>
              <w:t>(Gains) losses on strategic investments, net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(2,275)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36,404</w:t>
            </w:r>
          </w:p>
        </w:tc>
      </w:tr>
      <w:tr>
        <w:trPr>
          <w:trHeight w:val="209"/>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Provision for accounts receivable allowances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15,433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13,097</w:t>
            </w:r>
          </w:p>
        </w:tc>
      </w:tr>
      <w:tr>
        <w:trPr>
          <w:trHeight w:val="204"/>
        </w:trPr>
        <w:tc>
          <w:tcPr>
            <w:tcW w:w="8360" w:type="dxa"/>
            <w:vAlign w:val="bottom"/>
          </w:tcPr>
          <w:p>
            <w:pPr>
              <w:ind w:left="220"/>
              <w:spacing w:after="0"/>
              <w:rPr>
                <w:sz w:val="20"/>
                <w:szCs w:val="20"/>
                <w:color w:val="auto"/>
              </w:rPr>
            </w:pPr>
            <w:r>
              <w:rPr>
                <w:rFonts w:ascii="Arial" w:cs="Arial" w:eastAsia="Arial" w:hAnsi="Arial"/>
                <w:sz w:val="15"/>
                <w:szCs w:val="15"/>
                <w:color w:val="auto"/>
              </w:rPr>
              <w:t>Unrealized foreign exchange losses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3,316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11,980</w:t>
            </w:r>
          </w:p>
        </w:tc>
      </w:tr>
      <w:tr>
        <w:trPr>
          <w:trHeight w:val="209"/>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Non-cash operating lease cost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5,451</w:t>
            </w:r>
          </w:p>
        </w:tc>
      </w:tr>
      <w:tr>
        <w:trPr>
          <w:trHeight w:val="204"/>
        </w:trPr>
        <w:tc>
          <w:tcPr>
            <w:tcW w:w="8360" w:type="dxa"/>
            <w:vAlign w:val="bottom"/>
          </w:tcPr>
          <w:p>
            <w:pPr>
              <w:ind w:left="220"/>
              <w:spacing w:after="0"/>
              <w:rPr>
                <w:sz w:val="20"/>
                <w:szCs w:val="20"/>
                <w:color w:val="auto"/>
              </w:rPr>
            </w:pPr>
            <w:r>
              <w:rPr>
                <w:rFonts w:ascii="Arial" w:cs="Arial" w:eastAsia="Arial" w:hAnsi="Arial"/>
                <w:sz w:val="15"/>
                <w:szCs w:val="15"/>
                <w:color w:val="auto"/>
              </w:rPr>
              <w:t>Amortization of discount/premium on marketable securities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(6,765)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3,604</w:t>
            </w:r>
          </w:p>
        </w:tc>
      </w:tr>
      <w:tr>
        <w:trPr>
          <w:trHeight w:val="209"/>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r>
      <w:tr>
        <w:trPr>
          <w:trHeight w:val="204"/>
        </w:trPr>
        <w:tc>
          <w:tcPr>
            <w:tcW w:w="836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83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Accounts receivable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(83,605)</w:t>
            </w:r>
          </w:p>
        </w:tc>
      </w:tr>
      <w:tr>
        <w:trPr>
          <w:trHeight w:val="204"/>
        </w:trPr>
        <w:tc>
          <w:tcPr>
            <w:tcW w:w="8360" w:type="dxa"/>
            <w:vAlign w:val="bottom"/>
          </w:tcPr>
          <w:p>
            <w:pPr>
              <w:ind w:left="440"/>
              <w:spacing w:after="0"/>
              <w:rPr>
                <w:sz w:val="20"/>
                <w:szCs w:val="20"/>
                <w:color w:val="auto"/>
              </w:rPr>
            </w:pPr>
            <w:r>
              <w:rPr>
                <w:rFonts w:ascii="Arial" w:cs="Arial" w:eastAsia="Arial" w:hAnsi="Arial"/>
                <w:sz w:val="15"/>
                <w:szCs w:val="15"/>
                <w:color w:val="auto"/>
              </w:rPr>
              <w:t>Prepaid expenses and other assets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(6,659)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(27,235)</w:t>
            </w:r>
          </w:p>
        </w:tc>
      </w:tr>
      <w:tr>
        <w:trPr>
          <w:trHeight w:val="209"/>
        </w:trPr>
        <w:tc>
          <w:tcPr>
            <w:tcW w:w="83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contract acquisition costs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(65,690)</w:t>
            </w:r>
          </w:p>
        </w:tc>
      </w:tr>
      <w:tr>
        <w:trPr>
          <w:trHeight w:val="204"/>
        </w:trPr>
        <w:tc>
          <w:tcPr>
            <w:tcW w:w="8360" w:type="dxa"/>
            <w:vAlign w:val="bottom"/>
          </w:tcPr>
          <w:p>
            <w:pPr>
              <w:ind w:left="440"/>
              <w:spacing w:after="0"/>
              <w:rPr>
                <w:sz w:val="20"/>
                <w:szCs w:val="20"/>
                <w:color w:val="auto"/>
              </w:rPr>
            </w:pPr>
            <w:r>
              <w:rPr>
                <w:rFonts w:ascii="Arial" w:cs="Arial" w:eastAsia="Arial" w:hAnsi="Arial"/>
                <w:sz w:val="15"/>
                <w:szCs w:val="15"/>
                <w:color w:val="auto"/>
              </w:rPr>
              <w:t>Accounts payable</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1,881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11,153</w:t>
            </w:r>
          </w:p>
        </w:tc>
      </w:tr>
      <w:tr>
        <w:trPr>
          <w:trHeight w:val="209"/>
        </w:trPr>
        <w:tc>
          <w:tcPr>
            <w:tcW w:w="83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Accrued expenses and other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78,236</w:t>
            </w:r>
          </w:p>
        </w:tc>
      </w:tr>
      <w:tr>
        <w:trPr>
          <w:trHeight w:val="204"/>
        </w:trPr>
        <w:tc>
          <w:tcPr>
            <w:tcW w:w="8360" w:type="dxa"/>
            <w:vAlign w:val="bottom"/>
          </w:tcPr>
          <w:p>
            <w:pPr>
              <w:ind w:left="440"/>
              <w:spacing w:after="0"/>
              <w:rPr>
                <w:sz w:val="20"/>
                <w:szCs w:val="20"/>
                <w:color w:val="auto"/>
              </w:rPr>
            </w:pPr>
            <w:r>
              <w:rPr>
                <w:rFonts w:ascii="Arial" w:cs="Arial" w:eastAsia="Arial" w:hAnsi="Arial"/>
                <w:sz w:val="15"/>
                <w:szCs w:val="15"/>
                <w:color w:val="auto"/>
              </w:rPr>
              <w:t>Deferred revenue</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53,340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152,974</w:t>
            </w:r>
          </w:p>
        </w:tc>
      </w:tr>
      <w:tr>
        <w:trPr>
          <w:trHeight w:val="209"/>
        </w:trPr>
        <w:tc>
          <w:tcPr>
            <w:tcW w:w="83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Operating lease liabilities,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(6,049)</w:t>
            </w:r>
          </w:p>
        </w:tc>
      </w:tr>
      <w:tr>
        <w:trPr>
          <w:trHeight w:val="197"/>
        </w:trPr>
        <w:tc>
          <w:tcPr>
            <w:tcW w:w="8360" w:type="dxa"/>
            <w:vAlign w:val="bottom"/>
          </w:tcPr>
          <w:p>
            <w:pPr>
              <w:ind w:left="760"/>
              <w:spacing w:after="0"/>
              <w:rPr>
                <w:sz w:val="20"/>
                <w:szCs w:val="20"/>
                <w:color w:val="auto"/>
              </w:rPr>
            </w:pPr>
            <w:r>
              <w:rPr>
                <w:rFonts w:ascii="Arial" w:cs="Arial" w:eastAsia="Arial" w:hAnsi="Arial"/>
                <w:sz w:val="15"/>
                <w:szCs w:val="15"/>
                <w:color w:val="auto"/>
              </w:rPr>
              <w:t>Net cash provided by operating activities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418,487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526,151</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4"/>
        </w:trPr>
        <w:tc>
          <w:tcPr>
            <w:tcW w:w="8360" w:type="dxa"/>
            <w:vAlign w:val="bottom"/>
          </w:tcPr>
          <w:p>
            <w:pPr>
              <w:ind w:left="220"/>
              <w:spacing w:after="0"/>
              <w:rPr>
                <w:sz w:val="20"/>
                <w:szCs w:val="20"/>
                <w:color w:val="auto"/>
              </w:rPr>
            </w:pPr>
            <w:r>
              <w:rPr>
                <w:rFonts w:ascii="Arial" w:cs="Arial" w:eastAsia="Arial" w:hAnsi="Arial"/>
                <w:sz w:val="15"/>
                <w:szCs w:val="15"/>
                <w:color w:val="auto"/>
              </w:rPr>
              <w:t>Purchases of marketable securities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(768,230)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(611,662)</w:t>
            </w:r>
          </w:p>
        </w:tc>
      </w:tr>
      <w:tr>
        <w:trPr>
          <w:trHeight w:val="209"/>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Maturities of marketable 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559,686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609,327</w:t>
            </w:r>
          </w:p>
        </w:tc>
      </w:tr>
      <w:tr>
        <w:trPr>
          <w:trHeight w:val="204"/>
        </w:trPr>
        <w:tc>
          <w:tcPr>
            <w:tcW w:w="8360" w:type="dxa"/>
            <w:vAlign w:val="bottom"/>
          </w:tcPr>
          <w:p>
            <w:pPr>
              <w:ind w:left="220"/>
              <w:spacing w:after="0"/>
              <w:rPr>
                <w:sz w:val="20"/>
                <w:szCs w:val="20"/>
                <w:color w:val="auto"/>
              </w:rPr>
            </w:pPr>
            <w:r>
              <w:rPr>
                <w:rFonts w:ascii="Arial" w:cs="Arial" w:eastAsia="Arial" w:hAnsi="Arial"/>
                <w:sz w:val="15"/>
                <w:szCs w:val="15"/>
                <w:color w:val="auto"/>
              </w:rPr>
              <w:t>Purchases of property and equipment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(21,826)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(25,038)</w:t>
            </w:r>
          </w:p>
        </w:tc>
      </w:tr>
      <w:tr>
        <w:trPr>
          <w:trHeight w:val="209"/>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 of strategic investments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(11,750)</w:t>
            </w:r>
          </w:p>
        </w:tc>
      </w:tr>
      <w:tr>
        <w:trPr>
          <w:trHeight w:val="204"/>
        </w:trPr>
        <w:tc>
          <w:tcPr>
            <w:tcW w:w="8360" w:type="dxa"/>
            <w:vAlign w:val="bottom"/>
          </w:tcPr>
          <w:p>
            <w:pPr>
              <w:ind w:left="220"/>
              <w:spacing w:after="0"/>
              <w:rPr>
                <w:sz w:val="20"/>
                <w:szCs w:val="20"/>
                <w:color w:val="auto"/>
              </w:rPr>
            </w:pPr>
            <w:r>
              <w:rPr>
                <w:rFonts w:ascii="Arial" w:cs="Arial" w:eastAsia="Arial" w:hAnsi="Arial"/>
                <w:sz w:val="15"/>
                <w:szCs w:val="15"/>
                <w:color w:val="auto"/>
              </w:rPr>
              <w:t>Cash paid for acquisition, net of cash acquired</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(199,416)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 of intangible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(3,211)</w:t>
            </w:r>
          </w:p>
        </w:tc>
      </w:tr>
      <w:tr>
        <w:trPr>
          <w:trHeight w:val="197"/>
        </w:trPr>
        <w:tc>
          <w:tcPr>
            <w:tcW w:w="8360" w:type="dxa"/>
            <w:vAlign w:val="bottom"/>
          </w:tcPr>
          <w:p>
            <w:pPr>
              <w:ind w:left="760"/>
              <w:spacing w:after="0"/>
              <w:rPr>
                <w:sz w:val="20"/>
                <w:szCs w:val="20"/>
                <w:color w:val="auto"/>
              </w:rPr>
            </w:pPr>
            <w:r>
              <w:rPr>
                <w:rFonts w:ascii="Arial" w:cs="Arial" w:eastAsia="Arial" w:hAnsi="Arial"/>
                <w:sz w:val="15"/>
                <w:szCs w:val="15"/>
                <w:color w:val="auto"/>
              </w:rPr>
              <w:t>Net cash provided by (used in) investing activities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(480,786)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(42,334)</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4"/>
        </w:trPr>
        <w:tc>
          <w:tcPr>
            <w:tcW w:w="8360" w:type="dxa"/>
            <w:vAlign w:val="bottom"/>
          </w:tcPr>
          <w:p>
            <w:pPr>
              <w:ind w:left="220"/>
              <w:spacing w:after="0"/>
              <w:rPr>
                <w:sz w:val="20"/>
                <w:szCs w:val="20"/>
                <w:color w:val="auto"/>
              </w:rPr>
            </w:pPr>
            <w:r>
              <w:rPr>
                <w:rFonts w:ascii="Arial" w:cs="Arial" w:eastAsia="Arial" w:hAnsi="Arial"/>
                <w:sz w:val="15"/>
                <w:szCs w:val="15"/>
                <w:color w:val="auto"/>
              </w:rPr>
              <w:t>Proceeds from exercise of stock options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3,255</w:t>
            </w:r>
          </w:p>
        </w:tc>
      </w:tr>
      <w:tr>
        <w:trPr>
          <w:trHeight w:val="209"/>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employee equity transactions to be remitted (remitted) to employees and tax authorities,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(4,086)</w:t>
            </w:r>
          </w:p>
        </w:tc>
      </w:tr>
      <w:tr>
        <w:trPr>
          <w:trHeight w:val="194"/>
        </w:trPr>
        <w:tc>
          <w:tcPr>
            <w:tcW w:w="8360" w:type="dxa"/>
            <w:vAlign w:val="bottom"/>
          </w:tcPr>
          <w:p>
            <w:pPr>
              <w:ind w:left="220"/>
              <w:spacing w:after="0"/>
              <w:rPr>
                <w:sz w:val="20"/>
                <w:szCs w:val="20"/>
                <w:color w:val="auto"/>
              </w:rPr>
            </w:pPr>
            <w:r>
              <w:rPr>
                <w:rFonts w:ascii="Arial" w:cs="Arial" w:eastAsia="Arial" w:hAnsi="Arial"/>
                <w:sz w:val="15"/>
                <w:szCs w:val="15"/>
                <w:color w:val="auto"/>
              </w:rPr>
              <w:t>Cash paid for repurchases of common stock</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(132,412)</w:t>
            </w:r>
          </w:p>
        </w:tc>
      </w:tr>
      <w:tr>
        <w:trPr>
          <w:trHeight w:val="199"/>
        </w:trPr>
        <w:tc>
          <w:tcPr>
            <w:tcW w:w="83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Net cash (used in)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7,019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(133,243)</w:t>
            </w:r>
          </w:p>
        </w:tc>
      </w:tr>
      <w:tr>
        <w:trPr>
          <w:trHeight w:val="199"/>
        </w:trPr>
        <w:tc>
          <w:tcPr>
            <w:tcW w:w="836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(9,425)</w:t>
            </w:r>
          </w:p>
        </w:tc>
      </w:tr>
      <w:tr>
        <w:trPr>
          <w:trHeight w:val="199"/>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(57,833)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341,149</w:t>
            </w:r>
          </w:p>
        </w:tc>
      </w:tr>
      <w:tr>
        <w:trPr>
          <w:trHeight w:val="207"/>
        </w:trPr>
        <w:tc>
          <w:tcPr>
            <w:tcW w:w="836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 beginning of period</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1,100,243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1,073,353</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 end of period</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1,042,410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1,414,502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61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to Non-GAAP Measures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5"/>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income from operations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9,742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187,065</w:t>
            </w:r>
          </w:p>
        </w:tc>
        <w:tc>
          <w:tcPr>
            <w:tcW w:w="0" w:type="dxa"/>
            <w:vAlign w:val="bottom"/>
          </w:tcPr>
          <w:p>
            <w:pPr>
              <w:spacing w:after="0"/>
              <w:rPr>
                <w:sz w:val="1"/>
                <w:szCs w:val="1"/>
                <w:color w:val="auto"/>
              </w:rPr>
            </w:pPr>
          </w:p>
        </w:tc>
      </w:tr>
      <w:tr>
        <w:trPr>
          <w:trHeight w:val="219"/>
        </w:trPr>
        <w:tc>
          <w:tcPr>
            <w:tcW w:w="8120" w:type="dxa"/>
            <w:vAlign w:val="bottom"/>
          </w:tcPr>
          <w:p>
            <w:pPr>
              <w:ind w:left="20"/>
              <w:spacing w:after="0"/>
              <w:rPr>
                <w:sz w:val="20"/>
                <w:szCs w:val="20"/>
                <w:color w:val="auto"/>
              </w:rPr>
            </w:pPr>
            <w:r>
              <w:rPr>
                <w:rFonts w:ascii="Arial" w:cs="Arial" w:eastAsia="Arial" w:hAnsi="Arial"/>
                <w:sz w:val="17"/>
                <w:szCs w:val="17"/>
                <w:color w:val="auto"/>
              </w:rPr>
              <w:t>Add: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 and related payroll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278,048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212,862</w:t>
            </w:r>
          </w:p>
        </w:tc>
        <w:tc>
          <w:tcPr>
            <w:tcW w:w="0" w:type="dxa"/>
            <w:vAlign w:val="bottom"/>
          </w:tcPr>
          <w:p>
            <w:pPr>
              <w:spacing w:after="0"/>
              <w:rPr>
                <w:sz w:val="1"/>
                <w:szCs w:val="1"/>
                <w:color w:val="auto"/>
              </w:rPr>
            </w:pPr>
          </w:p>
        </w:tc>
      </w:tr>
      <w:tr>
        <w:trPr>
          <w:trHeight w:val="225"/>
        </w:trPr>
        <w:tc>
          <w:tcPr>
            <w:tcW w:w="8120" w:type="dxa"/>
            <w:vAlign w:val="bottom"/>
          </w:tcPr>
          <w:p>
            <w:pPr>
              <w:ind w:left="220"/>
              <w:spacing w:after="0"/>
              <w:rPr>
                <w:sz w:val="20"/>
                <w:szCs w:val="20"/>
                <w:color w:val="auto"/>
              </w:rPr>
            </w:pPr>
            <w:r>
              <w:rPr>
                <w:rFonts w:ascii="Arial" w:cs="Arial" w:eastAsia="Arial" w:hAnsi="Arial"/>
                <w:sz w:val="17"/>
                <w:szCs w:val="17"/>
                <w:color w:val="auto"/>
              </w:rPr>
              <w:t>Litigation settlements, net</w:t>
            </w:r>
          </w:p>
        </w:tc>
        <w:tc>
          <w:tcPr>
            <w:tcW w:w="2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52,500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(4,226)</w:t>
            </w:r>
          </w:p>
        </w:tc>
        <w:tc>
          <w:tcPr>
            <w:tcW w:w="0" w:type="dxa"/>
            <w:vAlign w:val="bottom"/>
          </w:tcPr>
          <w:p>
            <w:pPr>
              <w:spacing w:after="0"/>
              <w:rPr>
                <w:sz w:val="1"/>
                <w:szCs w:val="1"/>
                <w:color w:val="auto"/>
              </w:rPr>
            </w:pPr>
          </w:p>
        </w:tc>
      </w:tr>
      <w:tr>
        <w:trPr>
          <w:trHeight w:val="227"/>
        </w:trPr>
        <w:tc>
          <w:tcPr>
            <w:tcW w:w="8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8,851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3,934</w:t>
            </w: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Restructuring expenses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73,180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Non-GAAP income from operations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422,321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399,635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GAAP operating margin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0" w:lineRule="exact"/>
              <w:rPr>
                <w:sz w:val="20"/>
                <w:szCs w:val="20"/>
                <w:color w:val="auto"/>
              </w:rPr>
            </w:pPr>
            <w:r>
              <w:rPr>
                <w:rFonts w:ascii="Arial" w:cs="Arial" w:eastAsia="Arial" w:hAnsi="Arial"/>
                <w:sz w:val="17"/>
                <w:szCs w:val="17"/>
                <w:color w:val="auto"/>
              </w:rPr>
              <w:t>0.9 %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line="190" w:lineRule="exact"/>
              <w:rPr>
                <w:sz w:val="20"/>
                <w:szCs w:val="20"/>
                <w:color w:val="auto"/>
              </w:rPr>
            </w:pPr>
            <w:r>
              <w:rPr>
                <w:rFonts w:ascii="Arial" w:cs="Arial" w:eastAsia="Arial" w:hAnsi="Arial"/>
                <w:sz w:val="17"/>
                <w:szCs w:val="17"/>
                <w:color w:val="auto"/>
              </w:rPr>
              <w:t>17.4 %</w:t>
            </w:r>
          </w:p>
        </w:tc>
        <w:tc>
          <w:tcPr>
            <w:tcW w:w="0" w:type="dxa"/>
            <w:vAlign w:val="bottom"/>
          </w:tcPr>
          <w:p>
            <w:pPr>
              <w:spacing w:after="0"/>
              <w:rPr>
                <w:sz w:val="1"/>
                <w:szCs w:val="1"/>
                <w:color w:val="auto"/>
              </w:rPr>
            </w:pPr>
          </w:p>
        </w:tc>
      </w:tr>
      <w:tr>
        <w:trPr>
          <w:trHeight w:val="23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Non-GAAP operating margin</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37.2 %</w:t>
            </w:r>
          </w:p>
        </w:tc>
        <w:tc>
          <w:tcPr>
            <w:tcW w:w="0" w:type="dxa"/>
            <w:vAlign w:val="bottom"/>
          </w:tcPr>
          <w:p>
            <w:pPr>
              <w:spacing w:after="0"/>
              <w:rPr>
                <w:sz w:val="1"/>
                <w:szCs w:val="1"/>
                <w:color w:val="auto"/>
              </w:rPr>
            </w:pPr>
          </w:p>
        </w:tc>
      </w:tr>
      <w:tr>
        <w:trPr>
          <w:trHeight w:val="129"/>
        </w:trPr>
        <w:tc>
          <w:tcPr>
            <w:tcW w:w="8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net income attributable to common stockholders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15,444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113,640</w:t>
            </w:r>
          </w:p>
        </w:tc>
        <w:tc>
          <w:tcPr>
            <w:tcW w:w="0" w:type="dxa"/>
            <w:vAlign w:val="bottom"/>
          </w:tcPr>
          <w:p>
            <w:pPr>
              <w:spacing w:after="0"/>
              <w:rPr>
                <w:sz w:val="1"/>
                <w:szCs w:val="1"/>
                <w:color w:val="auto"/>
              </w:rPr>
            </w:pPr>
          </w:p>
        </w:tc>
      </w:tr>
      <w:tr>
        <w:trPr>
          <w:trHeight w:val="219"/>
        </w:trPr>
        <w:tc>
          <w:tcPr>
            <w:tcW w:w="8120" w:type="dxa"/>
            <w:vAlign w:val="bottom"/>
          </w:tcPr>
          <w:p>
            <w:pPr>
              <w:ind w:left="20"/>
              <w:spacing w:after="0"/>
              <w:rPr>
                <w:sz w:val="20"/>
                <w:szCs w:val="20"/>
                <w:color w:val="auto"/>
              </w:rPr>
            </w:pPr>
            <w:r>
              <w:rPr>
                <w:rFonts w:ascii="Arial" w:cs="Arial" w:eastAsia="Arial" w:hAnsi="Arial"/>
                <w:sz w:val="17"/>
                <w:szCs w:val="17"/>
                <w:color w:val="auto"/>
              </w:rPr>
              <w:t>Add: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 and related payroll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278,048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212,862</w:t>
            </w:r>
          </w:p>
        </w:tc>
        <w:tc>
          <w:tcPr>
            <w:tcW w:w="0" w:type="dxa"/>
            <w:vAlign w:val="bottom"/>
          </w:tcPr>
          <w:p>
            <w:pPr>
              <w:spacing w:after="0"/>
              <w:rPr>
                <w:sz w:val="1"/>
                <w:szCs w:val="1"/>
                <w:color w:val="auto"/>
              </w:rPr>
            </w:pPr>
          </w:p>
        </w:tc>
      </w:tr>
      <w:tr>
        <w:trPr>
          <w:trHeight w:val="225"/>
        </w:trPr>
        <w:tc>
          <w:tcPr>
            <w:tcW w:w="8120" w:type="dxa"/>
            <w:vAlign w:val="bottom"/>
          </w:tcPr>
          <w:p>
            <w:pPr>
              <w:ind w:left="220"/>
              <w:spacing w:after="0"/>
              <w:rPr>
                <w:sz w:val="20"/>
                <w:szCs w:val="20"/>
                <w:color w:val="auto"/>
              </w:rPr>
            </w:pPr>
            <w:r>
              <w:rPr>
                <w:rFonts w:ascii="Arial" w:cs="Arial" w:eastAsia="Arial" w:hAnsi="Arial"/>
                <w:sz w:val="17"/>
                <w:szCs w:val="17"/>
                <w:color w:val="auto"/>
              </w:rPr>
              <w:t>Litigation settlements, net</w:t>
            </w:r>
          </w:p>
        </w:tc>
        <w:tc>
          <w:tcPr>
            <w:tcW w:w="2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52,500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(4,226)</w:t>
            </w:r>
          </w:p>
        </w:tc>
        <w:tc>
          <w:tcPr>
            <w:tcW w:w="0" w:type="dxa"/>
            <w:vAlign w:val="bottom"/>
          </w:tcPr>
          <w:p>
            <w:pPr>
              <w:spacing w:after="0"/>
              <w:rPr>
                <w:sz w:val="1"/>
                <w:szCs w:val="1"/>
                <w:color w:val="auto"/>
              </w:rPr>
            </w:pPr>
          </w:p>
        </w:tc>
      </w:tr>
      <w:tr>
        <w:trPr>
          <w:trHeight w:val="227"/>
        </w:trPr>
        <w:tc>
          <w:tcPr>
            <w:tcW w:w="8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(Gains) losses on strategic investments,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(2,275)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36,404</w:t>
            </w:r>
          </w:p>
        </w:tc>
        <w:tc>
          <w:tcPr>
            <w:tcW w:w="0" w:type="dxa"/>
            <w:vAlign w:val="bottom"/>
          </w:tcPr>
          <w:p>
            <w:pPr>
              <w:spacing w:after="0"/>
              <w:rPr>
                <w:sz w:val="1"/>
                <w:szCs w:val="1"/>
                <w:color w:val="auto"/>
              </w:rPr>
            </w:pPr>
          </w:p>
        </w:tc>
      </w:tr>
      <w:tr>
        <w:trPr>
          <w:trHeight w:val="219"/>
        </w:trPr>
        <w:tc>
          <w:tcPr>
            <w:tcW w:w="8120" w:type="dxa"/>
            <w:vAlign w:val="bottom"/>
          </w:tcPr>
          <w:p>
            <w:pPr>
              <w:ind w:left="220"/>
              <w:spacing w:after="0"/>
              <w:rPr>
                <w:sz w:val="20"/>
                <w:szCs w:val="20"/>
                <w:color w:val="auto"/>
              </w:rPr>
            </w:pPr>
            <w:r>
              <w:rPr>
                <w:rFonts w:ascii="Arial" w:cs="Arial" w:eastAsia="Arial" w:hAnsi="Arial"/>
                <w:sz w:val="17"/>
                <w:szCs w:val="17"/>
                <w:color w:val="auto"/>
              </w:rPr>
              <w:t>Acquisition-related expenses</w:t>
            </w:r>
          </w:p>
        </w:tc>
        <w:tc>
          <w:tcPr>
            <w:tcW w:w="2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8,851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3,934</w:t>
            </w:r>
          </w:p>
        </w:tc>
        <w:tc>
          <w:tcPr>
            <w:tcW w:w="0" w:type="dxa"/>
            <w:vAlign w:val="bottom"/>
          </w:tcPr>
          <w:p>
            <w:pPr>
              <w:spacing w:after="0"/>
              <w:rPr>
                <w:sz w:val="1"/>
                <w:szCs w:val="1"/>
                <w:color w:val="auto"/>
              </w:rPr>
            </w:pPr>
          </w:p>
        </w:tc>
      </w:tr>
      <w:tr>
        <w:trPr>
          <w:trHeight w:val="233"/>
        </w:trPr>
        <w:tc>
          <w:tcPr>
            <w:tcW w:w="8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Restructuring expenses</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73,180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8120" w:type="dxa"/>
            <w:vAlign w:val="bottom"/>
          </w:tcPr>
          <w:p>
            <w:pPr>
              <w:ind w:left="220"/>
              <w:spacing w:after="0"/>
              <w:rPr>
                <w:sz w:val="20"/>
                <w:szCs w:val="20"/>
                <w:color w:val="auto"/>
              </w:rPr>
            </w:pPr>
            <w:r>
              <w:rPr>
                <w:rFonts w:ascii="Arial" w:cs="Arial" w:eastAsia="Arial" w:hAnsi="Arial"/>
                <w:sz w:val="17"/>
                <w:szCs w:val="17"/>
                <w:color w:val="auto"/>
              </w:rPr>
              <w:t>Undistributed earnings attributable to participating securities</w:t>
            </w:r>
          </w:p>
        </w:tc>
        <w:tc>
          <w:tcPr>
            <w:tcW w:w="2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Tax effects on non-GAAP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(72,497)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(46,846)</w:t>
            </w:r>
          </w:p>
        </w:tc>
        <w:tc>
          <w:tcPr>
            <w:tcW w:w="0" w:type="dxa"/>
            <w:vAlign w:val="bottom"/>
          </w:tcPr>
          <w:p>
            <w:pPr>
              <w:spacing w:after="0"/>
              <w:rPr>
                <w:sz w:val="1"/>
                <w:szCs w:val="1"/>
                <w:color w:val="auto"/>
              </w:rPr>
            </w:pPr>
          </w:p>
        </w:tc>
      </w:tr>
      <w:tr>
        <w:trPr>
          <w:trHeight w:val="225"/>
        </w:trPr>
        <w:tc>
          <w:tcPr>
            <w:tcW w:w="8120" w:type="dxa"/>
            <w:vAlign w:val="bottom"/>
          </w:tcPr>
          <w:p>
            <w:pPr>
              <w:ind w:left="20"/>
              <w:spacing w:after="0"/>
              <w:rPr>
                <w:sz w:val="20"/>
                <w:szCs w:val="20"/>
                <w:color w:val="auto"/>
              </w:rPr>
            </w:pPr>
            <w:r>
              <w:rPr>
                <w:rFonts w:ascii="Arial" w:cs="Arial" w:eastAsia="Arial" w:hAnsi="Arial"/>
                <w:sz w:val="17"/>
                <w:szCs w:val="17"/>
                <w:color w:val="auto"/>
              </w:rPr>
              <w:t>Non-GAAP net income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353,251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315,786</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8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8120" w:type="dxa"/>
            <w:vAlign w:val="bottom"/>
          </w:tcPr>
          <w:p>
            <w:pPr>
              <w:ind w:left="20"/>
              <w:spacing w:after="0"/>
              <w:rPr>
                <w:sz w:val="20"/>
                <w:szCs w:val="20"/>
                <w:color w:val="auto"/>
              </w:rPr>
            </w:pPr>
            <w:r>
              <w:rPr>
                <w:rFonts w:ascii="Arial" w:cs="Arial" w:eastAsia="Arial" w:hAnsi="Arial"/>
                <w:sz w:val="17"/>
                <w:szCs w:val="17"/>
                <w:color w:val="auto"/>
              </w:rPr>
              <w:t>Net income per share - basic and diluted: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GAAP net income per share - basic</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0.05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20" w:type="dxa"/>
            <w:vAlign w:val="bottom"/>
          </w:tcPr>
          <w:p>
            <w:pPr>
              <w:ind w:left="220"/>
              <w:spacing w:after="0"/>
              <w:rPr>
                <w:sz w:val="20"/>
                <w:szCs w:val="20"/>
                <w:color w:val="auto"/>
              </w:rPr>
            </w:pPr>
            <w:r>
              <w:rPr>
                <w:rFonts w:ascii="Arial" w:cs="Arial" w:eastAsia="Arial" w:hAnsi="Arial"/>
                <w:sz w:val="17"/>
                <w:szCs w:val="17"/>
                <w:color w:val="auto"/>
              </w:rPr>
              <w:t>Non-GAAP net income per share - basic</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1.20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GAAP net income per share - diluted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0.05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120" w:type="dxa"/>
            <w:vAlign w:val="bottom"/>
          </w:tcPr>
          <w:p>
            <w:pPr>
              <w:ind w:left="220"/>
              <w:spacing w:after="0" w:line="191" w:lineRule="exact"/>
              <w:rPr>
                <w:sz w:val="20"/>
                <w:szCs w:val="20"/>
                <w:color w:val="auto"/>
              </w:rPr>
            </w:pPr>
            <w:r>
              <w:rPr>
                <w:rFonts w:ascii="Arial" w:cs="Arial" w:eastAsia="Arial" w:hAnsi="Arial"/>
                <w:sz w:val="17"/>
                <w:szCs w:val="17"/>
                <w:color w:val="auto"/>
              </w:rPr>
              <w:t>Non-GAAP net income per share - diluted</w:t>
            </w:r>
          </w:p>
        </w:tc>
        <w:tc>
          <w:tcPr>
            <w:tcW w:w="260" w:type="dxa"/>
            <w:vAlign w:val="bottom"/>
          </w:tcPr>
          <w:p>
            <w:pPr>
              <w:jc w:val="right"/>
              <w:ind w:right="74"/>
              <w:spacing w:after="0" w:line="191" w:lineRule="exact"/>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6"/>
              <w:spacing w:after="0" w:line="191" w:lineRule="exact"/>
              <w:rPr>
                <w:sz w:val="20"/>
                <w:szCs w:val="20"/>
                <w:color w:val="auto"/>
              </w:rPr>
            </w:pPr>
            <w:r>
              <w:rPr>
                <w:rFonts w:ascii="Arial" w:cs="Arial" w:eastAsia="Arial" w:hAnsi="Arial"/>
                <w:sz w:val="17"/>
                <w:szCs w:val="17"/>
                <w:color w:val="auto"/>
              </w:rPr>
              <w:t>1.16</w:t>
            </w:r>
          </w:p>
        </w:tc>
        <w:tc>
          <w:tcPr>
            <w:tcW w:w="22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400" w:type="dxa"/>
            <w:vAlign w:val="bottom"/>
          </w:tcPr>
          <w:p>
            <w:pPr>
              <w:jc w:val="right"/>
              <w:ind w:right="115"/>
              <w:spacing w:after="0" w:line="191" w:lineRule="exact"/>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81"/>
        </w:trPr>
        <w:tc>
          <w:tcPr>
            <w:tcW w:w="8120" w:type="dxa"/>
            <w:vAlign w:val="bottom"/>
            <w:tcBorders>
              <w:bottom w:val="single" w:sz="8" w:color="CCEEFF"/>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1240" w:type="dxa"/>
            <w:vAlign w:val="bottom"/>
            <w:tcBorders>
              <w:top w:val="single" w:sz="8" w:color="auto"/>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40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812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GAAP and non-GAAP weighted-average shares used to compute net income per share - basic</w:t>
            </w: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jc w:val="right"/>
              <w:ind w:right="116"/>
              <w:spacing w:after="0"/>
              <w:rPr>
                <w:sz w:val="20"/>
                <w:szCs w:val="20"/>
                <w:color w:val="auto"/>
              </w:rPr>
            </w:pPr>
            <w:r>
              <w:rPr>
                <w:rFonts w:ascii="Arial" w:cs="Arial" w:eastAsia="Arial" w:hAnsi="Arial"/>
                <w:sz w:val="17"/>
                <w:szCs w:val="17"/>
                <w:color w:val="auto"/>
              </w:rPr>
              <w:t>295,409,207</w:t>
            </w: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jc w:val="right"/>
              <w:ind w:right="115"/>
              <w:spacing w:after="0"/>
              <w:rPr>
                <w:sz w:val="20"/>
                <w:szCs w:val="20"/>
                <w:color w:val="auto"/>
              </w:rPr>
            </w:pPr>
            <w:r>
              <w:rPr>
                <w:rFonts w:ascii="Arial" w:cs="Arial" w:eastAsia="Arial" w:hAnsi="Arial"/>
                <w:sz w:val="17"/>
                <w:szCs w:val="17"/>
                <w:color w:val="auto"/>
              </w:rPr>
              <w:t>299,147,105</w:t>
            </w:r>
          </w:p>
        </w:tc>
        <w:tc>
          <w:tcPr>
            <w:tcW w:w="0" w:type="dxa"/>
            <w:vAlign w:val="bottom"/>
          </w:tcPr>
          <w:p>
            <w:pPr>
              <w:spacing w:after="0"/>
              <w:rPr>
                <w:sz w:val="1"/>
                <w:szCs w:val="1"/>
                <w:color w:val="auto"/>
              </w:rPr>
            </w:pPr>
          </w:p>
        </w:tc>
      </w:tr>
      <w:tr>
        <w:trPr>
          <w:trHeight w:val="23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and non-GAAP weighted-average shares used to compute net income per share - diluted</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304,115,913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306,614,220</w:t>
            </w:r>
          </w:p>
        </w:tc>
        <w:tc>
          <w:tcPr>
            <w:tcW w:w="0" w:type="dxa"/>
            <w:vAlign w:val="bottom"/>
          </w:tcPr>
          <w:p>
            <w:pPr>
              <w:spacing w:after="0"/>
              <w:rPr>
                <w:sz w:val="1"/>
                <w:szCs w:val="1"/>
                <w:color w:val="auto"/>
              </w:rPr>
            </w:pPr>
          </w:p>
        </w:tc>
      </w:tr>
      <w:tr>
        <w:trPr>
          <w:trHeight w:val="77"/>
        </w:trPr>
        <w:tc>
          <w:tcPr>
            <w:tcW w:w="8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418,487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526,151</w:t>
            </w:r>
          </w:p>
        </w:tc>
        <w:tc>
          <w:tcPr>
            <w:tcW w:w="0" w:type="dxa"/>
            <w:vAlign w:val="bottom"/>
          </w:tcPr>
          <w:p>
            <w:pPr>
              <w:spacing w:after="0"/>
              <w:rPr>
                <w:sz w:val="1"/>
                <w:szCs w:val="1"/>
                <w:color w:val="auto"/>
              </w:rPr>
            </w:pPr>
          </w:p>
        </w:tc>
      </w:tr>
      <w:tr>
        <w:trPr>
          <w:trHeight w:val="207"/>
        </w:trPr>
        <w:tc>
          <w:tcPr>
            <w:tcW w:w="8120" w:type="dxa"/>
            <w:vAlign w:val="bottom"/>
          </w:tcPr>
          <w:p>
            <w:pPr>
              <w:ind w:left="220"/>
              <w:spacing w:after="0"/>
              <w:rPr>
                <w:sz w:val="20"/>
                <w:szCs w:val="20"/>
                <w:color w:val="auto"/>
              </w:rPr>
            </w:pPr>
            <w:r>
              <w:rPr>
                <w:rFonts w:ascii="Arial" w:cs="Arial" w:eastAsia="Arial" w:hAnsi="Arial"/>
                <w:sz w:val="17"/>
                <w:szCs w:val="17"/>
                <w:color w:val="auto"/>
              </w:rPr>
              <w:t>Less: Purchases of property and equipment</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(21,826)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(25,038)</w:t>
            </w:r>
          </w:p>
        </w:tc>
        <w:tc>
          <w:tcPr>
            <w:tcW w:w="0" w:type="dxa"/>
            <w:vAlign w:val="bottom"/>
          </w:tcPr>
          <w:p>
            <w:pPr>
              <w:spacing w:after="0"/>
              <w:rPr>
                <w:sz w:val="1"/>
                <w:szCs w:val="1"/>
                <w:color w:val="auto"/>
              </w:rPr>
            </w:pPr>
          </w:p>
        </w:tc>
      </w:tr>
      <w:tr>
        <w:trPr>
          <w:trHeight w:val="212"/>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Free cash flow (non-GAAP)</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396,661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501,113</w:t>
            </w:r>
          </w:p>
        </w:tc>
        <w:tc>
          <w:tcPr>
            <w:tcW w:w="0" w:type="dxa"/>
            <w:vAlign w:val="bottom"/>
          </w:tcPr>
          <w:p>
            <w:pPr>
              <w:spacing w:after="0"/>
              <w:rPr>
                <w:sz w:val="1"/>
                <w:szCs w:val="1"/>
                <w:color w:val="auto"/>
              </w:rPr>
            </w:pPr>
          </w:p>
        </w:tc>
      </w:tr>
      <w:tr>
        <w:trPr>
          <w:trHeight w:val="22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(480,786)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(42,334)</w:t>
            </w:r>
          </w:p>
        </w:tc>
        <w:tc>
          <w:tcPr>
            <w:tcW w:w="0" w:type="dxa"/>
            <w:vAlign w:val="bottom"/>
          </w:tcPr>
          <w:p>
            <w:pPr>
              <w:spacing w:after="0"/>
              <w:rPr>
                <w:sz w:val="1"/>
                <w:szCs w:val="1"/>
                <w:color w:val="auto"/>
              </w:rPr>
            </w:pPr>
          </w:p>
        </w:tc>
      </w:tr>
      <w:tr>
        <w:trPr>
          <w:trHeight w:val="23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7,019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(133,243)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Operating cash flow margin (GAAP)</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0" w:lineRule="exact"/>
              <w:rPr>
                <w:sz w:val="20"/>
                <w:szCs w:val="20"/>
                <w:color w:val="auto"/>
              </w:rPr>
            </w:pPr>
            <w:r>
              <w:rPr>
                <w:rFonts w:ascii="Arial" w:cs="Arial" w:eastAsia="Arial" w:hAnsi="Arial"/>
                <w:sz w:val="17"/>
                <w:szCs w:val="17"/>
                <w:color w:val="auto"/>
              </w:rPr>
              <w:t>37.9 %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line="190" w:lineRule="exact"/>
              <w:rPr>
                <w:sz w:val="20"/>
                <w:szCs w:val="20"/>
                <w:color w:val="auto"/>
              </w:rPr>
            </w:pPr>
            <w:r>
              <w:rPr>
                <w:rFonts w:ascii="Arial" w:cs="Arial" w:eastAsia="Arial" w:hAnsi="Arial"/>
                <w:sz w:val="17"/>
                <w:szCs w:val="17"/>
                <w:color w:val="auto"/>
              </w:rPr>
              <w:t>49.0 %</w:t>
            </w:r>
          </w:p>
        </w:tc>
        <w:tc>
          <w:tcPr>
            <w:tcW w:w="0" w:type="dxa"/>
            <w:vAlign w:val="bottom"/>
          </w:tcPr>
          <w:p>
            <w:pPr>
              <w:spacing w:after="0"/>
              <w:rPr>
                <w:sz w:val="1"/>
                <w:szCs w:val="1"/>
                <w:color w:val="auto"/>
              </w:rPr>
            </w:pPr>
          </w:p>
        </w:tc>
      </w:tr>
      <w:tr>
        <w:trPr>
          <w:trHeight w:val="23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 margin (non-GAAP)</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46.7 %</w:t>
            </w:r>
          </w:p>
        </w:tc>
        <w:tc>
          <w:tcPr>
            <w:tcW w:w="0" w:type="dxa"/>
            <w:vAlign w:val="bottom"/>
          </w:tcPr>
          <w:p>
            <w:pPr>
              <w:spacing w:after="0"/>
              <w:rPr>
                <w:sz w:val="1"/>
                <w:szCs w:val="1"/>
                <w:color w:val="auto"/>
              </w:rPr>
            </w:pPr>
          </w:p>
        </w:tc>
      </w:tr>
      <w:tr>
        <w:trPr>
          <w:trHeight w:val="103"/>
        </w:trPr>
        <w:tc>
          <w:tcPr>
            <w:tcW w:w="8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15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8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860" w:type="dxa"/>
            <w:vAlign w:val="bottom"/>
            <w:tcBorders>
              <w:bottom w:val="single" w:sz="8" w:color="auto"/>
            </w:tcBorders>
            <w:gridSpan w:val="4"/>
            <w:shd w:val="clear" w:color="auto" w:fill="CCEEFF"/>
          </w:tcPr>
          <w:p>
            <w:pPr>
              <w:jc w:val="right"/>
              <w:ind w:right="575"/>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0"/>
        </w:trPr>
        <w:tc>
          <w:tcPr>
            <w:tcW w:w="8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8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Revenue</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jc w:val="right"/>
              <w:ind w:right="35"/>
              <w:spacing w:after="0" w:line="133" w:lineRule="exact"/>
              <w:rPr>
                <w:sz w:val="20"/>
                <w:szCs w:val="20"/>
                <w:color w:val="auto"/>
              </w:rPr>
            </w:pPr>
            <w:r>
              <w:rPr>
                <w:rFonts w:ascii="Arial" w:cs="Arial" w:eastAsia="Arial" w:hAnsi="Arial"/>
                <w:sz w:val="14"/>
                <w:szCs w:val="14"/>
                <w:b w:val="1"/>
                <w:bCs w:val="1"/>
                <w:color w:val="auto"/>
                <w:w w:val="88"/>
              </w:rPr>
              <w:t>YoY Revenue Growth</w:t>
            </w:r>
          </w:p>
        </w:tc>
        <w:tc>
          <w:tcPr>
            <w:tcW w:w="0" w:type="dxa"/>
            <w:vAlign w:val="bottom"/>
          </w:tcPr>
          <w:p>
            <w:pPr>
              <w:spacing w:after="0"/>
              <w:rPr>
                <w:sz w:val="1"/>
                <w:szCs w:val="1"/>
                <w:color w:val="auto"/>
              </w:rPr>
            </w:pPr>
          </w:p>
        </w:tc>
      </w:tr>
      <w:tr>
        <w:trPr>
          <w:trHeight w:val="184"/>
        </w:trPr>
        <w:tc>
          <w:tcPr>
            <w:tcW w:w="8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8120" w:type="dxa"/>
            <w:vAlign w:val="bottom"/>
          </w:tcPr>
          <w:p>
            <w:pPr>
              <w:ind w:left="20"/>
              <w:spacing w:after="0"/>
              <w:rPr>
                <w:sz w:val="20"/>
                <w:szCs w:val="20"/>
                <w:color w:val="auto"/>
              </w:rPr>
            </w:pPr>
            <w:r>
              <w:rPr>
                <w:rFonts w:ascii="Arial" w:cs="Arial" w:eastAsia="Arial" w:hAnsi="Arial"/>
                <w:sz w:val="17"/>
                <w:szCs w:val="17"/>
                <w:color w:val="auto"/>
              </w:rPr>
              <w:t>GAAP revenue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1,105,364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 Constant currency impact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18,440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13"/>
        </w:trPr>
        <w:tc>
          <w:tcPr>
            <w:tcW w:w="8120" w:type="dxa"/>
            <w:vAlign w:val="bottom"/>
          </w:tcPr>
          <w:p>
            <w:pPr>
              <w:ind w:left="20"/>
              <w:spacing w:after="0"/>
              <w:rPr>
                <w:sz w:val="20"/>
                <w:szCs w:val="20"/>
                <w:color w:val="auto"/>
              </w:rPr>
            </w:pPr>
            <w:r>
              <w:rPr>
                <w:rFonts w:ascii="Arial" w:cs="Arial" w:eastAsia="Arial" w:hAnsi="Arial"/>
                <w:sz w:val="17"/>
                <w:szCs w:val="17"/>
                <w:color w:val="auto"/>
              </w:rPr>
              <w:t>Revenue in constant currency (non-GAAP)</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1,123,804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2023-05-22T15:12:32Z</dcterms:created>
  <dcterms:modified xsi:type="dcterms:W3CDTF">2023-05-22T15:12:32Z</dcterms:modified>
</cp:coreProperties>
</file>